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DDB9F" w14:textId="77777777" w:rsidR="00B3298C" w:rsidRDefault="00B3298C">
      <w:pPr>
        <w:pStyle w:val="a6"/>
        <w:tabs>
          <w:tab w:val="left" w:pos="2625"/>
        </w:tabs>
        <w:rPr>
          <w:rFonts w:ascii="Times New Roman"/>
          <w:sz w:val="28"/>
          <w:szCs w:val="28"/>
        </w:rPr>
      </w:pPr>
    </w:p>
    <w:p w14:paraId="03979FFF" w14:textId="77777777" w:rsidR="00B3298C" w:rsidRDefault="00B3298C">
      <w:pPr>
        <w:pStyle w:val="a6"/>
        <w:tabs>
          <w:tab w:val="left" w:pos="2625"/>
        </w:tabs>
        <w:rPr>
          <w:rFonts w:ascii="Times New Roman"/>
          <w:sz w:val="28"/>
          <w:szCs w:val="28"/>
        </w:rPr>
      </w:pPr>
    </w:p>
    <w:p w14:paraId="3EE6DDCD" w14:textId="77777777" w:rsidR="00B3298C" w:rsidRDefault="00B3298C">
      <w:pPr>
        <w:pStyle w:val="a6"/>
        <w:rPr>
          <w:rFonts w:ascii="Times New Roman"/>
          <w:sz w:val="28"/>
          <w:szCs w:val="28"/>
        </w:rPr>
      </w:pPr>
    </w:p>
    <w:p w14:paraId="7F395FB4" w14:textId="67687296" w:rsidR="00B3298C" w:rsidRDefault="00126055">
      <w:pPr>
        <w:pStyle w:val="a6"/>
        <w:rPr>
          <w:rFonts w:ascii="Times New Roman" w:eastAsia="黑体"/>
          <w:kern w:val="2"/>
          <w:sz w:val="44"/>
          <w:szCs w:val="44"/>
        </w:rPr>
      </w:pPr>
      <w:bookmarkStart w:id="0" w:name="OLE_LINK3"/>
      <w:r>
        <w:rPr>
          <w:rFonts w:ascii="Times New Roman" w:eastAsia="黑体" w:hint="eastAsia"/>
          <w:kern w:val="2"/>
          <w:sz w:val="44"/>
          <w:szCs w:val="44"/>
        </w:rPr>
        <w:t>《</w:t>
      </w:r>
      <w:r w:rsidR="00261BC2" w:rsidRPr="00261BC2">
        <w:rPr>
          <w:rFonts w:ascii="Times New Roman" w:eastAsia="黑体" w:hint="eastAsia"/>
          <w:kern w:val="2"/>
          <w:sz w:val="44"/>
          <w:szCs w:val="44"/>
        </w:rPr>
        <w:t>石油产品凝点测定仪校准规范</w:t>
      </w:r>
      <w:r>
        <w:rPr>
          <w:rFonts w:ascii="Times New Roman" w:eastAsia="黑体"/>
          <w:kern w:val="2"/>
          <w:sz w:val="44"/>
          <w:szCs w:val="44"/>
        </w:rPr>
        <w:t>》</w:t>
      </w:r>
    </w:p>
    <w:p w14:paraId="59BA3F68" w14:textId="77777777" w:rsidR="00B3298C" w:rsidRDefault="00126055">
      <w:pPr>
        <w:pStyle w:val="a6"/>
        <w:rPr>
          <w:rFonts w:ascii="Times New Roman" w:eastAsia="黑体"/>
          <w:kern w:val="2"/>
          <w:sz w:val="44"/>
          <w:szCs w:val="44"/>
        </w:rPr>
      </w:pPr>
      <w:r>
        <w:rPr>
          <w:rFonts w:ascii="Times New Roman" w:eastAsia="黑体" w:hint="eastAsia"/>
          <w:kern w:val="2"/>
          <w:sz w:val="44"/>
          <w:szCs w:val="44"/>
        </w:rPr>
        <w:t>国家计量技术规范编写</w:t>
      </w:r>
      <w:r>
        <w:rPr>
          <w:rFonts w:ascii="Times New Roman" w:eastAsia="黑体"/>
          <w:kern w:val="2"/>
          <w:sz w:val="44"/>
          <w:szCs w:val="44"/>
        </w:rPr>
        <w:t>说明</w:t>
      </w:r>
    </w:p>
    <w:p w14:paraId="1E64A7B8" w14:textId="6F4101C0" w:rsidR="00B3298C" w:rsidRDefault="00126055">
      <w:pPr>
        <w:pStyle w:val="a6"/>
        <w:rPr>
          <w:rFonts w:ascii="Times New Roman"/>
          <w:sz w:val="28"/>
          <w:szCs w:val="28"/>
        </w:rPr>
      </w:pPr>
      <w:r>
        <w:rPr>
          <w:rFonts w:ascii="Times New Roman" w:eastAsia="黑体"/>
          <w:color w:val="000000"/>
          <w:sz w:val="28"/>
          <w:szCs w:val="28"/>
        </w:rPr>
        <w:t xml:space="preserve">  </w:t>
      </w:r>
      <w:r>
        <w:rPr>
          <w:rFonts w:ascii="Times New Roman" w:eastAsia="黑体"/>
          <w:color w:val="000000"/>
          <w:sz w:val="28"/>
          <w:szCs w:val="28"/>
        </w:rPr>
        <w:t>（</w:t>
      </w:r>
      <w:r w:rsidR="00261BC2">
        <w:rPr>
          <w:rFonts w:ascii="Times New Roman" w:eastAsia="黑体" w:hint="eastAsia"/>
          <w:color w:val="000000"/>
          <w:sz w:val="28"/>
          <w:szCs w:val="28"/>
        </w:rPr>
        <w:t>征求意见</w:t>
      </w:r>
      <w:r>
        <w:rPr>
          <w:rFonts w:ascii="Times New Roman" w:eastAsia="黑体"/>
          <w:color w:val="000000"/>
          <w:sz w:val="28"/>
          <w:szCs w:val="28"/>
        </w:rPr>
        <w:t>稿）</w:t>
      </w:r>
    </w:p>
    <w:bookmarkEnd w:id="0"/>
    <w:p w14:paraId="3DD7542E" w14:textId="77777777" w:rsidR="00B3298C" w:rsidRDefault="00B3298C">
      <w:pPr>
        <w:pStyle w:val="a6"/>
        <w:rPr>
          <w:rFonts w:ascii="Times New Roman" w:eastAsia="黑体"/>
          <w:sz w:val="32"/>
          <w:szCs w:val="32"/>
        </w:rPr>
      </w:pPr>
    </w:p>
    <w:p w14:paraId="32B2646C" w14:textId="77777777" w:rsidR="00B3298C" w:rsidRDefault="00B3298C">
      <w:pPr>
        <w:pStyle w:val="a6"/>
        <w:rPr>
          <w:rFonts w:ascii="Times New Roman" w:eastAsia="黑体"/>
          <w:sz w:val="32"/>
          <w:szCs w:val="32"/>
        </w:rPr>
      </w:pPr>
    </w:p>
    <w:p w14:paraId="765112C4" w14:textId="77777777" w:rsidR="00B3298C" w:rsidRDefault="00B3298C">
      <w:pPr>
        <w:pStyle w:val="a6"/>
        <w:rPr>
          <w:rFonts w:ascii="Times New Roman" w:eastAsia="黑体"/>
          <w:sz w:val="32"/>
          <w:szCs w:val="32"/>
        </w:rPr>
      </w:pPr>
    </w:p>
    <w:p w14:paraId="5E6A1ED2" w14:textId="77777777" w:rsidR="00B3298C" w:rsidRDefault="00B3298C">
      <w:pPr>
        <w:pStyle w:val="a6"/>
        <w:spacing w:before="0" w:line="360" w:lineRule="auto"/>
        <w:ind w:firstLine="640"/>
        <w:rPr>
          <w:rFonts w:ascii="Times New Roman" w:eastAsia="黑体"/>
          <w:sz w:val="32"/>
          <w:szCs w:val="32"/>
        </w:rPr>
      </w:pPr>
    </w:p>
    <w:p w14:paraId="794B5202" w14:textId="77777777" w:rsidR="00B3298C" w:rsidRDefault="00B3298C">
      <w:pPr>
        <w:pStyle w:val="a6"/>
        <w:spacing w:before="0" w:line="360" w:lineRule="auto"/>
        <w:ind w:firstLine="640"/>
        <w:rPr>
          <w:rFonts w:ascii="Times New Roman" w:eastAsia="黑体"/>
          <w:sz w:val="32"/>
          <w:szCs w:val="32"/>
        </w:rPr>
      </w:pPr>
    </w:p>
    <w:p w14:paraId="36C11A20" w14:textId="77777777" w:rsidR="00B3298C" w:rsidRDefault="00B3298C">
      <w:pPr>
        <w:pStyle w:val="a6"/>
        <w:spacing w:before="0" w:line="360" w:lineRule="auto"/>
        <w:ind w:firstLine="640"/>
        <w:rPr>
          <w:rFonts w:ascii="Times New Roman" w:eastAsia="黑体"/>
          <w:sz w:val="32"/>
          <w:szCs w:val="32"/>
        </w:rPr>
      </w:pPr>
    </w:p>
    <w:p w14:paraId="0AB319B2" w14:textId="77777777" w:rsidR="00B3298C" w:rsidRDefault="00B3298C">
      <w:pPr>
        <w:pStyle w:val="a6"/>
        <w:spacing w:before="0" w:line="360" w:lineRule="auto"/>
        <w:ind w:firstLine="640"/>
        <w:rPr>
          <w:rFonts w:ascii="Times New Roman" w:eastAsia="黑体"/>
          <w:sz w:val="32"/>
          <w:szCs w:val="32"/>
        </w:rPr>
      </w:pPr>
    </w:p>
    <w:p w14:paraId="76F98882" w14:textId="77777777" w:rsidR="00B3298C" w:rsidRDefault="00B3298C">
      <w:pPr>
        <w:pStyle w:val="a6"/>
        <w:spacing w:before="0" w:line="360" w:lineRule="auto"/>
        <w:ind w:firstLine="640"/>
        <w:rPr>
          <w:rFonts w:ascii="Times New Roman" w:eastAsia="黑体"/>
          <w:sz w:val="32"/>
          <w:szCs w:val="32"/>
        </w:rPr>
      </w:pPr>
    </w:p>
    <w:p w14:paraId="4D8EB78A" w14:textId="77777777" w:rsidR="00B3298C" w:rsidRDefault="00B3298C">
      <w:pPr>
        <w:pStyle w:val="a6"/>
        <w:spacing w:before="0" w:line="360" w:lineRule="auto"/>
        <w:ind w:firstLine="640"/>
        <w:rPr>
          <w:rFonts w:ascii="Times New Roman" w:eastAsia="黑体"/>
          <w:sz w:val="32"/>
          <w:szCs w:val="32"/>
        </w:rPr>
      </w:pPr>
    </w:p>
    <w:p w14:paraId="0EB6F231" w14:textId="2CE1F221" w:rsidR="00B3298C" w:rsidRDefault="00261BC2">
      <w:pPr>
        <w:pStyle w:val="a6"/>
        <w:spacing w:line="360" w:lineRule="auto"/>
        <w:ind w:firstLine="640"/>
        <w:rPr>
          <w:rFonts w:ascii="Times New Roman" w:eastAsia="黑体"/>
          <w:sz w:val="28"/>
          <w:szCs w:val="28"/>
        </w:rPr>
      </w:pPr>
      <w:r>
        <w:rPr>
          <w:rFonts w:ascii="Times New Roman" w:eastAsia="黑体" w:hint="eastAsia"/>
          <w:sz w:val="28"/>
          <w:szCs w:val="28"/>
        </w:rPr>
        <w:t>中国计量科学研究院</w:t>
      </w:r>
    </w:p>
    <w:p w14:paraId="2B4D640B" w14:textId="23CA4726" w:rsidR="00B3298C" w:rsidRDefault="00126055">
      <w:pPr>
        <w:pStyle w:val="a6"/>
        <w:spacing w:before="0" w:line="240" w:lineRule="auto"/>
        <w:rPr>
          <w:rFonts w:ascii="Times New Roman" w:eastAsia="黑体"/>
          <w:sz w:val="28"/>
          <w:szCs w:val="28"/>
        </w:rPr>
      </w:pPr>
      <w:r>
        <w:rPr>
          <w:rFonts w:ascii="Times New Roman" w:eastAsia="黑体"/>
          <w:sz w:val="28"/>
          <w:szCs w:val="28"/>
        </w:rPr>
        <w:t xml:space="preserve">  </w:t>
      </w:r>
      <w:r w:rsidR="00261BC2">
        <w:rPr>
          <w:rFonts w:ascii="Times New Roman" w:eastAsia="黑体"/>
          <w:sz w:val="28"/>
          <w:szCs w:val="28"/>
        </w:rPr>
        <w:t>2025</w:t>
      </w:r>
      <w:r>
        <w:rPr>
          <w:rFonts w:ascii="Times New Roman" w:eastAsia="黑体"/>
          <w:sz w:val="28"/>
          <w:szCs w:val="28"/>
        </w:rPr>
        <w:t>年</w:t>
      </w:r>
      <w:r w:rsidR="00261BC2">
        <w:rPr>
          <w:rFonts w:ascii="Times New Roman" w:eastAsia="黑体"/>
          <w:sz w:val="28"/>
          <w:szCs w:val="28"/>
        </w:rPr>
        <w:t>08</w:t>
      </w:r>
      <w:r>
        <w:rPr>
          <w:rFonts w:ascii="Times New Roman" w:eastAsia="黑体"/>
          <w:sz w:val="28"/>
          <w:szCs w:val="28"/>
        </w:rPr>
        <w:t>月</w:t>
      </w:r>
    </w:p>
    <w:p w14:paraId="3FE96498" w14:textId="77777777" w:rsidR="00B3298C" w:rsidRDefault="00B3298C">
      <w:pPr>
        <w:pStyle w:val="1"/>
        <w:numPr>
          <w:ilvl w:val="0"/>
          <w:numId w:val="1"/>
        </w:numPr>
        <w:spacing w:before="0" w:after="0" w:line="440" w:lineRule="exact"/>
        <w:rPr>
          <w:rFonts w:eastAsia="黑体"/>
          <w:b w:val="0"/>
          <w:bCs w:val="0"/>
          <w:sz w:val="28"/>
          <w:szCs w:val="28"/>
        </w:rPr>
        <w:sectPr w:rsidR="00B3298C">
          <w:footerReference w:type="default" r:id="rId7"/>
          <w:pgSz w:w="11906" w:h="16838"/>
          <w:pgMar w:top="1418" w:right="1418" w:bottom="1418" w:left="1418" w:header="851" w:footer="992" w:gutter="0"/>
          <w:pgNumType w:start="1"/>
          <w:cols w:space="720"/>
          <w:titlePg/>
          <w:docGrid w:type="lines" w:linePitch="500"/>
        </w:sectPr>
      </w:pPr>
      <w:bookmarkStart w:id="1" w:name="_Toc75299184"/>
      <w:bookmarkStart w:id="2" w:name="_Toc519327148"/>
    </w:p>
    <w:p w14:paraId="0A1A14AC" w14:textId="77777777" w:rsidR="00B3298C" w:rsidRDefault="00B3298C">
      <w:pPr>
        <w:pStyle w:val="1"/>
        <w:numPr>
          <w:ilvl w:val="0"/>
          <w:numId w:val="1"/>
        </w:numPr>
        <w:spacing w:before="0" w:after="0" w:line="440" w:lineRule="exact"/>
        <w:rPr>
          <w:rFonts w:eastAsia="黑体"/>
          <w:b w:val="0"/>
          <w:bCs w:val="0"/>
          <w:sz w:val="28"/>
          <w:szCs w:val="28"/>
        </w:rPr>
        <w:sectPr w:rsidR="00B3298C">
          <w:type w:val="continuous"/>
          <w:pgSz w:w="11906" w:h="16838"/>
          <w:pgMar w:top="1418" w:right="1418" w:bottom="1418" w:left="1418" w:header="851" w:footer="992" w:gutter="0"/>
          <w:cols w:space="720"/>
          <w:docGrid w:type="lines" w:linePitch="500"/>
        </w:sectPr>
      </w:pPr>
    </w:p>
    <w:p w14:paraId="2D79117A" w14:textId="264FD8E7" w:rsidR="00B3298C" w:rsidRDefault="00126055" w:rsidP="00261BC2">
      <w:pPr>
        <w:pStyle w:val="a6"/>
        <w:adjustRightInd w:val="0"/>
        <w:snapToGrid w:val="0"/>
        <w:spacing w:beforeLines="100" w:before="312" w:afterLines="100" w:after="312" w:line="360" w:lineRule="auto"/>
        <w:rPr>
          <w:rFonts w:eastAsia="黑体"/>
          <w:sz w:val="28"/>
          <w:szCs w:val="28"/>
        </w:rPr>
      </w:pPr>
      <w:r>
        <w:rPr>
          <w:rFonts w:ascii="Times New Roman" w:eastAsia="黑体" w:hint="eastAsia"/>
          <w:kern w:val="2"/>
          <w:sz w:val="44"/>
          <w:szCs w:val="44"/>
        </w:rPr>
        <w:lastRenderedPageBreak/>
        <w:t>《</w:t>
      </w:r>
      <w:r w:rsidR="00261BC2" w:rsidRPr="00261BC2">
        <w:rPr>
          <w:rFonts w:ascii="Times New Roman" w:eastAsia="黑体" w:hint="eastAsia"/>
          <w:kern w:val="2"/>
          <w:sz w:val="44"/>
          <w:szCs w:val="44"/>
        </w:rPr>
        <w:t>石油产品凝点测定仪校准规范</w:t>
      </w:r>
      <w:r>
        <w:rPr>
          <w:rFonts w:ascii="Times New Roman" w:eastAsia="黑体"/>
          <w:kern w:val="2"/>
          <w:sz w:val="44"/>
          <w:szCs w:val="44"/>
        </w:rPr>
        <w:t>》</w:t>
      </w:r>
    </w:p>
    <w:p w14:paraId="071F4E38" w14:textId="77777777" w:rsidR="00B3298C" w:rsidRDefault="00126055" w:rsidP="00261BC2">
      <w:pPr>
        <w:adjustRightInd w:val="0"/>
        <w:snapToGrid w:val="0"/>
        <w:spacing w:line="360" w:lineRule="auto"/>
        <w:rPr>
          <w:rFonts w:eastAsia="黑体"/>
          <w:sz w:val="28"/>
          <w:szCs w:val="28"/>
        </w:rPr>
      </w:pPr>
      <w:r>
        <w:rPr>
          <w:rFonts w:eastAsia="黑体" w:hint="eastAsia"/>
          <w:sz w:val="28"/>
          <w:szCs w:val="28"/>
        </w:rPr>
        <w:t xml:space="preserve">1  </w:t>
      </w:r>
      <w:r>
        <w:rPr>
          <w:rFonts w:eastAsia="黑体" w:hint="eastAsia"/>
          <w:sz w:val="28"/>
          <w:szCs w:val="28"/>
        </w:rPr>
        <w:t>工作简况</w:t>
      </w:r>
      <w:bookmarkEnd w:id="1"/>
    </w:p>
    <w:p w14:paraId="66A3303E" w14:textId="77777777" w:rsidR="00B3298C" w:rsidRDefault="00126055" w:rsidP="00261BC2">
      <w:pPr>
        <w:widowControl/>
        <w:adjustRightInd w:val="0"/>
        <w:snapToGrid w:val="0"/>
        <w:spacing w:line="360" w:lineRule="auto"/>
        <w:rPr>
          <w:rFonts w:eastAsia="黑体"/>
          <w:kern w:val="0"/>
          <w:sz w:val="28"/>
          <w:szCs w:val="28"/>
        </w:rPr>
      </w:pPr>
      <w:bookmarkStart w:id="3" w:name="_Toc75299185"/>
      <w:r>
        <w:rPr>
          <w:rFonts w:eastAsia="黑体" w:hint="eastAsia"/>
          <w:kern w:val="0"/>
          <w:sz w:val="28"/>
          <w:szCs w:val="28"/>
        </w:rPr>
        <w:t xml:space="preserve">1.1  </w:t>
      </w:r>
      <w:r>
        <w:rPr>
          <w:rFonts w:eastAsia="黑体" w:hint="eastAsia"/>
          <w:kern w:val="0"/>
          <w:sz w:val="28"/>
          <w:szCs w:val="28"/>
        </w:rPr>
        <w:t>任务来源</w:t>
      </w:r>
      <w:bookmarkEnd w:id="2"/>
      <w:bookmarkEnd w:id="3"/>
    </w:p>
    <w:p w14:paraId="082F4C1B" w14:textId="318314FE" w:rsidR="00B3298C" w:rsidRDefault="00261BC2" w:rsidP="00261BC2">
      <w:pPr>
        <w:adjustRightInd w:val="0"/>
        <w:snapToGrid w:val="0"/>
        <w:spacing w:line="360" w:lineRule="auto"/>
        <w:ind w:firstLineChars="200" w:firstLine="560"/>
        <w:rPr>
          <w:sz w:val="28"/>
          <w:szCs w:val="28"/>
        </w:rPr>
      </w:pPr>
      <w:bookmarkStart w:id="4" w:name="_Toc75299186"/>
      <w:r w:rsidRPr="00261BC2">
        <w:rPr>
          <w:rFonts w:hint="eastAsia"/>
          <w:sz w:val="28"/>
          <w:szCs w:val="28"/>
        </w:rPr>
        <w:t>本规程修订任务来源于《市场监管总局办公厅关于印发</w:t>
      </w:r>
      <w:r w:rsidRPr="00261BC2">
        <w:rPr>
          <w:rFonts w:hint="eastAsia"/>
          <w:sz w:val="28"/>
          <w:szCs w:val="28"/>
        </w:rPr>
        <w:t>2024</w:t>
      </w:r>
      <w:r w:rsidRPr="00261BC2">
        <w:rPr>
          <w:rFonts w:hint="eastAsia"/>
          <w:sz w:val="28"/>
          <w:szCs w:val="28"/>
        </w:rPr>
        <w:t>年国家计量技术规范制定、修订及宣贯计划的通知》</w:t>
      </w:r>
      <w:r w:rsidRPr="00261BC2">
        <w:rPr>
          <w:rFonts w:hint="eastAsia"/>
          <w:sz w:val="28"/>
          <w:szCs w:val="28"/>
        </w:rPr>
        <w:t>(</w:t>
      </w:r>
      <w:proofErr w:type="gramStart"/>
      <w:r w:rsidRPr="00261BC2">
        <w:rPr>
          <w:rFonts w:hint="eastAsia"/>
          <w:sz w:val="28"/>
          <w:szCs w:val="28"/>
        </w:rPr>
        <w:t>市监计量</w:t>
      </w:r>
      <w:proofErr w:type="gramEnd"/>
      <w:r w:rsidRPr="00261BC2">
        <w:rPr>
          <w:rFonts w:hint="eastAsia"/>
          <w:sz w:val="28"/>
          <w:szCs w:val="28"/>
        </w:rPr>
        <w:t>发</w:t>
      </w:r>
      <w:r w:rsidRPr="00261BC2">
        <w:rPr>
          <w:rFonts w:hint="eastAsia"/>
          <w:sz w:val="28"/>
          <w:szCs w:val="28"/>
        </w:rPr>
        <w:t>[202</w:t>
      </w:r>
      <w:r w:rsidR="005D5F00">
        <w:rPr>
          <w:sz w:val="28"/>
          <w:szCs w:val="28"/>
        </w:rPr>
        <w:t>4</w:t>
      </w:r>
      <w:r w:rsidRPr="00261BC2">
        <w:rPr>
          <w:rFonts w:hint="eastAsia"/>
          <w:sz w:val="28"/>
          <w:szCs w:val="28"/>
        </w:rPr>
        <w:t>]40</w:t>
      </w:r>
      <w:r w:rsidRPr="00261BC2">
        <w:rPr>
          <w:rFonts w:hint="eastAsia"/>
          <w:sz w:val="28"/>
          <w:szCs w:val="28"/>
        </w:rPr>
        <w:t>号</w:t>
      </w:r>
      <w:r w:rsidRPr="00261BC2">
        <w:rPr>
          <w:rFonts w:hint="eastAsia"/>
          <w:sz w:val="28"/>
          <w:szCs w:val="28"/>
        </w:rPr>
        <w:t>)</w:t>
      </w:r>
      <w:r w:rsidRPr="00261BC2">
        <w:rPr>
          <w:rFonts w:hint="eastAsia"/>
          <w:sz w:val="28"/>
          <w:szCs w:val="28"/>
        </w:rPr>
        <w:t>，计划项目编号：</w:t>
      </w:r>
      <w:r w:rsidRPr="00261BC2">
        <w:rPr>
          <w:rFonts w:hint="eastAsia"/>
          <w:sz w:val="28"/>
          <w:szCs w:val="28"/>
        </w:rPr>
        <w:t>MTC42</w:t>
      </w:r>
      <w:r w:rsidRPr="00261BC2">
        <w:rPr>
          <w:rFonts w:hint="eastAsia"/>
          <w:sz w:val="28"/>
          <w:szCs w:val="28"/>
        </w:rPr>
        <w:t>—</w:t>
      </w:r>
      <w:r w:rsidRPr="00261BC2">
        <w:rPr>
          <w:rFonts w:hint="eastAsia"/>
          <w:sz w:val="28"/>
          <w:szCs w:val="28"/>
        </w:rPr>
        <w:t>2024</w:t>
      </w:r>
      <w:r w:rsidRPr="00261BC2">
        <w:rPr>
          <w:rFonts w:hint="eastAsia"/>
          <w:sz w:val="28"/>
          <w:szCs w:val="28"/>
        </w:rPr>
        <w:t>—</w:t>
      </w:r>
      <w:r w:rsidRPr="00261BC2">
        <w:rPr>
          <w:rFonts w:hint="eastAsia"/>
          <w:sz w:val="28"/>
          <w:szCs w:val="28"/>
        </w:rPr>
        <w:t>08</w:t>
      </w:r>
      <w:r w:rsidRPr="00261BC2">
        <w:rPr>
          <w:rFonts w:hint="eastAsia"/>
          <w:sz w:val="28"/>
          <w:szCs w:val="28"/>
        </w:rPr>
        <w:t>。</w:t>
      </w:r>
    </w:p>
    <w:p w14:paraId="130669A8" w14:textId="77777777" w:rsidR="00B3298C" w:rsidRDefault="00126055" w:rsidP="00261BC2">
      <w:pPr>
        <w:widowControl/>
        <w:adjustRightInd w:val="0"/>
        <w:snapToGrid w:val="0"/>
        <w:spacing w:line="360" w:lineRule="auto"/>
        <w:rPr>
          <w:rFonts w:eastAsia="黑体"/>
          <w:kern w:val="0"/>
          <w:sz w:val="28"/>
          <w:szCs w:val="28"/>
        </w:rPr>
      </w:pPr>
      <w:r>
        <w:rPr>
          <w:rFonts w:eastAsia="黑体" w:hint="eastAsia"/>
          <w:kern w:val="0"/>
          <w:sz w:val="28"/>
          <w:szCs w:val="28"/>
        </w:rPr>
        <w:t>1.2</w:t>
      </w:r>
      <w:bookmarkEnd w:id="4"/>
      <w:r>
        <w:rPr>
          <w:rFonts w:eastAsia="黑体" w:hint="eastAsia"/>
          <w:kern w:val="0"/>
          <w:sz w:val="28"/>
          <w:szCs w:val="28"/>
        </w:rPr>
        <w:t xml:space="preserve">  </w:t>
      </w:r>
      <w:r>
        <w:rPr>
          <w:rFonts w:eastAsia="黑体" w:hint="eastAsia"/>
          <w:kern w:val="0"/>
          <w:sz w:val="28"/>
          <w:szCs w:val="28"/>
        </w:rPr>
        <w:t>编写依据</w:t>
      </w:r>
    </w:p>
    <w:p w14:paraId="5F6DFC24" w14:textId="5D533309" w:rsidR="00B3298C" w:rsidRDefault="00261BC2" w:rsidP="007D2113">
      <w:pPr>
        <w:adjustRightInd w:val="0"/>
        <w:snapToGrid w:val="0"/>
        <w:spacing w:line="360" w:lineRule="auto"/>
        <w:ind w:firstLineChars="200" w:firstLine="560"/>
        <w:rPr>
          <w:sz w:val="28"/>
          <w:szCs w:val="28"/>
        </w:rPr>
      </w:pPr>
      <w:r w:rsidRPr="00261BC2">
        <w:rPr>
          <w:rFonts w:hint="eastAsia"/>
          <w:sz w:val="28"/>
          <w:szCs w:val="28"/>
        </w:rPr>
        <w:t>本规范依据</w:t>
      </w:r>
      <w:r w:rsidRPr="00261BC2">
        <w:rPr>
          <w:rFonts w:hint="eastAsia"/>
          <w:sz w:val="28"/>
          <w:szCs w:val="28"/>
        </w:rPr>
        <w:t>JJF 1001-2011</w:t>
      </w:r>
      <w:r w:rsidRPr="00261BC2">
        <w:rPr>
          <w:rFonts w:hint="eastAsia"/>
          <w:sz w:val="28"/>
          <w:szCs w:val="28"/>
        </w:rPr>
        <w:t>《通用计量术语及定义》、</w:t>
      </w:r>
      <w:r w:rsidRPr="00261BC2">
        <w:rPr>
          <w:rFonts w:hint="eastAsia"/>
          <w:sz w:val="28"/>
          <w:szCs w:val="28"/>
        </w:rPr>
        <w:t>JJF 1059.1-2012</w:t>
      </w:r>
      <w:r w:rsidRPr="00261BC2">
        <w:rPr>
          <w:rFonts w:hint="eastAsia"/>
          <w:sz w:val="28"/>
          <w:szCs w:val="28"/>
        </w:rPr>
        <w:t>《测量不确定度评定与表示》、</w:t>
      </w:r>
      <w:r w:rsidRPr="00261BC2">
        <w:rPr>
          <w:rFonts w:hint="eastAsia"/>
          <w:sz w:val="28"/>
          <w:szCs w:val="28"/>
        </w:rPr>
        <w:t>JJF 1071-2010</w:t>
      </w:r>
      <w:r w:rsidRPr="00261BC2">
        <w:rPr>
          <w:rFonts w:hint="eastAsia"/>
          <w:sz w:val="28"/>
          <w:szCs w:val="28"/>
        </w:rPr>
        <w:t>《国家计量校准规范编写规则》编制。本规范的主要技术指标和试验方法参考了</w:t>
      </w:r>
      <w:r w:rsidRPr="00261BC2">
        <w:rPr>
          <w:rFonts w:hint="eastAsia"/>
          <w:sz w:val="28"/>
          <w:szCs w:val="28"/>
        </w:rPr>
        <w:t>GB/T 510-2018</w:t>
      </w:r>
      <w:r w:rsidRPr="00261BC2">
        <w:rPr>
          <w:rFonts w:hint="eastAsia"/>
          <w:sz w:val="28"/>
          <w:szCs w:val="28"/>
        </w:rPr>
        <w:t>《石油产品凝点测定法》。</w:t>
      </w:r>
    </w:p>
    <w:p w14:paraId="21982CB8" w14:textId="77777777" w:rsidR="00B3298C" w:rsidRDefault="00126055" w:rsidP="00261BC2">
      <w:pPr>
        <w:widowControl/>
        <w:adjustRightInd w:val="0"/>
        <w:snapToGrid w:val="0"/>
        <w:spacing w:line="360" w:lineRule="auto"/>
        <w:rPr>
          <w:rFonts w:eastAsia="黑体"/>
          <w:kern w:val="0"/>
          <w:sz w:val="28"/>
          <w:szCs w:val="28"/>
        </w:rPr>
      </w:pPr>
      <w:r>
        <w:rPr>
          <w:rFonts w:eastAsia="黑体" w:hint="eastAsia"/>
          <w:kern w:val="0"/>
          <w:sz w:val="28"/>
          <w:szCs w:val="28"/>
        </w:rPr>
        <w:t xml:space="preserve">1.3  </w:t>
      </w:r>
      <w:r>
        <w:rPr>
          <w:rFonts w:eastAsia="黑体" w:hint="eastAsia"/>
          <w:kern w:val="0"/>
          <w:sz w:val="28"/>
          <w:szCs w:val="28"/>
        </w:rPr>
        <w:t>起草过程</w:t>
      </w:r>
    </w:p>
    <w:p w14:paraId="714927EF" w14:textId="01D45331" w:rsidR="00261BC2" w:rsidRPr="00261BC2" w:rsidRDefault="00261BC2" w:rsidP="00261BC2">
      <w:pPr>
        <w:adjustRightInd w:val="0"/>
        <w:snapToGrid w:val="0"/>
        <w:spacing w:line="360" w:lineRule="auto"/>
        <w:ind w:firstLineChars="200" w:firstLine="560"/>
        <w:rPr>
          <w:sz w:val="28"/>
          <w:szCs w:val="28"/>
        </w:rPr>
      </w:pPr>
      <w:r w:rsidRPr="00261BC2">
        <w:rPr>
          <w:rFonts w:hint="eastAsia"/>
          <w:sz w:val="28"/>
          <w:szCs w:val="28"/>
        </w:rPr>
        <w:t>中国计量科学研究院于</w:t>
      </w:r>
      <w:r w:rsidRPr="00261BC2">
        <w:rPr>
          <w:rFonts w:hint="eastAsia"/>
          <w:sz w:val="28"/>
          <w:szCs w:val="28"/>
        </w:rPr>
        <w:t>2024</w:t>
      </w:r>
      <w:r w:rsidRPr="00261BC2">
        <w:rPr>
          <w:rFonts w:hint="eastAsia"/>
          <w:sz w:val="28"/>
          <w:szCs w:val="28"/>
        </w:rPr>
        <w:t>年</w:t>
      </w:r>
      <w:r w:rsidRPr="00261BC2">
        <w:rPr>
          <w:rFonts w:hint="eastAsia"/>
          <w:sz w:val="28"/>
          <w:szCs w:val="28"/>
        </w:rPr>
        <w:t>6</w:t>
      </w:r>
      <w:r w:rsidRPr="00261BC2">
        <w:rPr>
          <w:rFonts w:hint="eastAsia"/>
          <w:sz w:val="28"/>
          <w:szCs w:val="28"/>
        </w:rPr>
        <w:t>月接到本规范制定任务。中国计量科学研究院、山东省计量科学研究院、辽宁省计量科学研究院作为主要起草单位，与中石化石油化工科学研究院有限公司合作，成立了规范起草小组。</w:t>
      </w:r>
      <w:r w:rsidR="00783B5F" w:rsidRPr="00783B5F">
        <w:rPr>
          <w:rFonts w:hint="eastAsia"/>
          <w:sz w:val="28"/>
          <w:szCs w:val="28"/>
        </w:rPr>
        <w:t>在前期准备工作</w:t>
      </w:r>
      <w:r w:rsidR="00783B5F">
        <w:rPr>
          <w:rFonts w:hint="eastAsia"/>
          <w:sz w:val="28"/>
          <w:szCs w:val="28"/>
        </w:rPr>
        <w:t>中</w:t>
      </w:r>
      <w:r w:rsidR="00783B5F" w:rsidRPr="00783B5F">
        <w:rPr>
          <w:rFonts w:hint="eastAsia"/>
          <w:sz w:val="28"/>
          <w:szCs w:val="28"/>
        </w:rPr>
        <w:t>，技术规范起草小组对国内使用的石油产品凝点测定仪的结构、工作原理、使用情况、用户需求做了深入的研究，为起草《石油产品自动凝点测定仪校准规范》工作奠定了基础。</w:t>
      </w:r>
    </w:p>
    <w:p w14:paraId="08166C3F" w14:textId="4A0B20D9" w:rsidR="00B3298C" w:rsidRDefault="00261BC2" w:rsidP="00261BC2">
      <w:pPr>
        <w:adjustRightInd w:val="0"/>
        <w:snapToGrid w:val="0"/>
        <w:spacing w:line="360" w:lineRule="auto"/>
        <w:ind w:firstLineChars="200" w:firstLine="560"/>
        <w:rPr>
          <w:sz w:val="28"/>
          <w:szCs w:val="28"/>
        </w:rPr>
      </w:pPr>
      <w:r w:rsidRPr="00261BC2">
        <w:rPr>
          <w:rFonts w:hint="eastAsia"/>
          <w:sz w:val="28"/>
          <w:szCs w:val="28"/>
        </w:rPr>
        <w:t>规范起草小组于</w:t>
      </w:r>
      <w:r w:rsidRPr="00261BC2">
        <w:rPr>
          <w:rFonts w:hint="eastAsia"/>
          <w:sz w:val="28"/>
          <w:szCs w:val="28"/>
        </w:rPr>
        <w:t>2024</w:t>
      </w:r>
      <w:r w:rsidRPr="00261BC2">
        <w:rPr>
          <w:rFonts w:hint="eastAsia"/>
          <w:sz w:val="28"/>
          <w:szCs w:val="28"/>
        </w:rPr>
        <w:t>年</w:t>
      </w:r>
      <w:r w:rsidRPr="00261BC2">
        <w:rPr>
          <w:rFonts w:hint="eastAsia"/>
          <w:sz w:val="28"/>
          <w:szCs w:val="28"/>
        </w:rPr>
        <w:t>6</w:t>
      </w:r>
      <w:r w:rsidRPr="00261BC2">
        <w:rPr>
          <w:rFonts w:hint="eastAsia"/>
          <w:sz w:val="28"/>
          <w:szCs w:val="28"/>
        </w:rPr>
        <w:t>月接到本规程制定任务。自</w:t>
      </w:r>
      <w:r w:rsidRPr="00261BC2">
        <w:rPr>
          <w:rFonts w:hint="eastAsia"/>
          <w:sz w:val="28"/>
          <w:szCs w:val="28"/>
        </w:rPr>
        <w:t>2024</w:t>
      </w:r>
      <w:r w:rsidRPr="00261BC2">
        <w:rPr>
          <w:rFonts w:hint="eastAsia"/>
          <w:sz w:val="28"/>
          <w:szCs w:val="28"/>
        </w:rPr>
        <w:t>年</w:t>
      </w:r>
      <w:r w:rsidRPr="00261BC2">
        <w:rPr>
          <w:rFonts w:hint="eastAsia"/>
          <w:sz w:val="28"/>
          <w:szCs w:val="28"/>
        </w:rPr>
        <w:t>7</w:t>
      </w:r>
      <w:r w:rsidRPr="00261BC2">
        <w:rPr>
          <w:rFonts w:hint="eastAsia"/>
          <w:sz w:val="28"/>
          <w:szCs w:val="28"/>
        </w:rPr>
        <w:t>月至</w:t>
      </w:r>
      <w:r w:rsidRPr="00261BC2">
        <w:rPr>
          <w:rFonts w:hint="eastAsia"/>
          <w:sz w:val="28"/>
          <w:szCs w:val="28"/>
        </w:rPr>
        <w:t>2024</w:t>
      </w:r>
      <w:r w:rsidRPr="00261BC2">
        <w:rPr>
          <w:rFonts w:hint="eastAsia"/>
          <w:sz w:val="28"/>
          <w:szCs w:val="28"/>
        </w:rPr>
        <w:t>年</w:t>
      </w:r>
      <w:r w:rsidRPr="00261BC2">
        <w:rPr>
          <w:rFonts w:hint="eastAsia"/>
          <w:sz w:val="28"/>
          <w:szCs w:val="28"/>
        </w:rPr>
        <w:t>9</w:t>
      </w:r>
      <w:r w:rsidRPr="00261BC2">
        <w:rPr>
          <w:rFonts w:hint="eastAsia"/>
          <w:sz w:val="28"/>
          <w:szCs w:val="28"/>
        </w:rPr>
        <w:t>月进行调研，收集仪器生产、使用情况等信息，并整理相关数据。</w:t>
      </w:r>
      <w:r w:rsidRPr="00261BC2">
        <w:rPr>
          <w:rFonts w:hint="eastAsia"/>
          <w:sz w:val="28"/>
          <w:szCs w:val="28"/>
        </w:rPr>
        <w:t>2024</w:t>
      </w:r>
      <w:r w:rsidRPr="00261BC2">
        <w:rPr>
          <w:rFonts w:hint="eastAsia"/>
          <w:sz w:val="28"/>
          <w:szCs w:val="28"/>
        </w:rPr>
        <w:t>年</w:t>
      </w:r>
      <w:r w:rsidR="009E7A2F">
        <w:rPr>
          <w:sz w:val="28"/>
          <w:szCs w:val="28"/>
        </w:rPr>
        <w:t>10</w:t>
      </w:r>
      <w:r w:rsidRPr="00261BC2">
        <w:rPr>
          <w:rFonts w:hint="eastAsia"/>
          <w:sz w:val="28"/>
          <w:szCs w:val="28"/>
        </w:rPr>
        <w:t>月，制定小组根据已汇总信息，召开规范制定讨论会，讨论确定规范主要指标的计量性能要求与试验方法。讨论会后规范起草小组将已确定的计量性能指标与试验方法编制试验操</w:t>
      </w:r>
      <w:r w:rsidRPr="00261BC2">
        <w:rPr>
          <w:rFonts w:hint="eastAsia"/>
          <w:sz w:val="28"/>
          <w:szCs w:val="28"/>
        </w:rPr>
        <w:lastRenderedPageBreak/>
        <w:t>作说明，发放给凝点测定</w:t>
      </w:r>
      <w:proofErr w:type="gramStart"/>
      <w:r w:rsidRPr="00261BC2">
        <w:rPr>
          <w:rFonts w:hint="eastAsia"/>
          <w:sz w:val="28"/>
          <w:szCs w:val="28"/>
        </w:rPr>
        <w:t>仪使用</w:t>
      </w:r>
      <w:proofErr w:type="gramEnd"/>
      <w:r w:rsidRPr="00261BC2">
        <w:rPr>
          <w:rFonts w:hint="eastAsia"/>
          <w:sz w:val="28"/>
          <w:szCs w:val="28"/>
        </w:rPr>
        <w:t>实验室，进行指标验证试验。</w:t>
      </w:r>
      <w:r w:rsidRPr="00261BC2">
        <w:rPr>
          <w:rFonts w:hint="eastAsia"/>
          <w:sz w:val="28"/>
          <w:szCs w:val="28"/>
        </w:rPr>
        <w:t>2025</w:t>
      </w:r>
      <w:r w:rsidRPr="00261BC2">
        <w:rPr>
          <w:rFonts w:hint="eastAsia"/>
          <w:sz w:val="28"/>
          <w:szCs w:val="28"/>
        </w:rPr>
        <w:t>年</w:t>
      </w:r>
      <w:r w:rsidRPr="00261BC2">
        <w:rPr>
          <w:rFonts w:hint="eastAsia"/>
          <w:sz w:val="28"/>
          <w:szCs w:val="28"/>
        </w:rPr>
        <w:t>2</w:t>
      </w:r>
      <w:r w:rsidRPr="00261BC2">
        <w:rPr>
          <w:rFonts w:hint="eastAsia"/>
          <w:sz w:val="28"/>
          <w:szCs w:val="28"/>
        </w:rPr>
        <w:t>月，将各实验室已返回的实验数据进行处理分析，完成计量性能指标的确认与规</w:t>
      </w:r>
      <w:r w:rsidR="00EE5D59">
        <w:rPr>
          <w:rFonts w:hint="eastAsia"/>
          <w:sz w:val="28"/>
          <w:szCs w:val="28"/>
        </w:rPr>
        <w:t>范</w:t>
      </w:r>
      <w:r w:rsidRPr="00261BC2">
        <w:rPr>
          <w:rFonts w:hint="eastAsia"/>
          <w:sz w:val="28"/>
          <w:szCs w:val="28"/>
        </w:rPr>
        <w:t>修订初稿。</w:t>
      </w:r>
      <w:r w:rsidR="009E7A2F">
        <w:rPr>
          <w:rFonts w:hint="eastAsia"/>
          <w:sz w:val="28"/>
          <w:szCs w:val="28"/>
        </w:rPr>
        <w:t>2</w:t>
      </w:r>
      <w:r w:rsidR="009E7A2F">
        <w:rPr>
          <w:sz w:val="28"/>
          <w:szCs w:val="28"/>
        </w:rPr>
        <w:t>025</w:t>
      </w:r>
      <w:r w:rsidR="009E7A2F">
        <w:rPr>
          <w:rFonts w:hint="eastAsia"/>
          <w:sz w:val="28"/>
          <w:szCs w:val="28"/>
        </w:rPr>
        <w:t>年</w:t>
      </w:r>
      <w:r w:rsidR="009E7A2F">
        <w:rPr>
          <w:rFonts w:hint="eastAsia"/>
          <w:sz w:val="28"/>
          <w:szCs w:val="28"/>
        </w:rPr>
        <w:t>5</w:t>
      </w:r>
      <w:r w:rsidR="009E7A2F">
        <w:rPr>
          <w:rFonts w:hint="eastAsia"/>
          <w:sz w:val="28"/>
          <w:szCs w:val="28"/>
        </w:rPr>
        <w:t>月，</w:t>
      </w:r>
      <w:r w:rsidR="009E7A2F" w:rsidRPr="009E7A2F">
        <w:rPr>
          <w:rFonts w:hint="eastAsia"/>
          <w:sz w:val="28"/>
          <w:szCs w:val="28"/>
        </w:rPr>
        <w:t>召开起草小组会议，内部讨论征求意见，对初稿进行进一步完善</w:t>
      </w:r>
      <w:r w:rsidR="00665146">
        <w:rPr>
          <w:rFonts w:hint="eastAsia"/>
          <w:sz w:val="28"/>
          <w:szCs w:val="28"/>
        </w:rPr>
        <w:t>，并完成不确定度评定报告</w:t>
      </w:r>
      <w:r w:rsidR="009E7A2F" w:rsidRPr="009E7A2F">
        <w:rPr>
          <w:rFonts w:hint="eastAsia"/>
          <w:sz w:val="28"/>
          <w:szCs w:val="28"/>
        </w:rPr>
        <w:t>；</w:t>
      </w:r>
      <w:r w:rsidRPr="00261BC2">
        <w:rPr>
          <w:rFonts w:hint="eastAsia"/>
          <w:sz w:val="28"/>
          <w:szCs w:val="28"/>
        </w:rPr>
        <w:t>2025</w:t>
      </w:r>
      <w:r w:rsidRPr="00261BC2">
        <w:rPr>
          <w:rFonts w:hint="eastAsia"/>
          <w:sz w:val="28"/>
          <w:szCs w:val="28"/>
        </w:rPr>
        <w:t>年</w:t>
      </w:r>
      <w:r w:rsidRPr="00261BC2">
        <w:rPr>
          <w:rFonts w:hint="eastAsia"/>
          <w:sz w:val="28"/>
          <w:szCs w:val="28"/>
        </w:rPr>
        <w:t>8</w:t>
      </w:r>
      <w:r w:rsidRPr="00261BC2">
        <w:rPr>
          <w:rFonts w:hint="eastAsia"/>
          <w:sz w:val="28"/>
          <w:szCs w:val="28"/>
        </w:rPr>
        <w:t>月，本规范起草小组完成征求意见稿初稿及相关材料的起草，并报送秘书处。</w:t>
      </w:r>
    </w:p>
    <w:p w14:paraId="0A84A2D8" w14:textId="77777777" w:rsidR="00B3298C" w:rsidRDefault="00126055" w:rsidP="00261BC2">
      <w:pPr>
        <w:widowControl/>
        <w:adjustRightInd w:val="0"/>
        <w:snapToGrid w:val="0"/>
        <w:spacing w:line="360" w:lineRule="auto"/>
        <w:rPr>
          <w:rFonts w:eastAsia="黑体"/>
          <w:kern w:val="0"/>
          <w:sz w:val="28"/>
          <w:szCs w:val="28"/>
        </w:rPr>
      </w:pPr>
      <w:r>
        <w:rPr>
          <w:rFonts w:eastAsia="黑体" w:hint="eastAsia"/>
          <w:kern w:val="0"/>
          <w:sz w:val="28"/>
          <w:szCs w:val="28"/>
        </w:rPr>
        <w:t xml:space="preserve">1.4  </w:t>
      </w:r>
      <w:bookmarkStart w:id="5" w:name="OLE_LINK1"/>
      <w:bookmarkStart w:id="6" w:name="OLE_LINK2"/>
      <w:r>
        <w:rPr>
          <w:rFonts w:eastAsia="黑体" w:hint="eastAsia"/>
          <w:kern w:val="0"/>
          <w:sz w:val="28"/>
          <w:szCs w:val="28"/>
        </w:rPr>
        <w:t>主要</w:t>
      </w:r>
      <w:r>
        <w:rPr>
          <w:rFonts w:eastAsia="黑体"/>
          <w:kern w:val="0"/>
          <w:sz w:val="28"/>
          <w:szCs w:val="28"/>
        </w:rPr>
        <w:t>参加单位</w:t>
      </w:r>
      <w:r>
        <w:rPr>
          <w:rFonts w:eastAsia="黑体" w:hint="eastAsia"/>
          <w:kern w:val="0"/>
          <w:sz w:val="28"/>
          <w:szCs w:val="28"/>
        </w:rPr>
        <w:t>和</w:t>
      </w:r>
      <w:r>
        <w:rPr>
          <w:rFonts w:eastAsia="黑体"/>
          <w:kern w:val="0"/>
          <w:sz w:val="28"/>
          <w:szCs w:val="28"/>
        </w:rPr>
        <w:t>工作组成员</w:t>
      </w:r>
      <w:r>
        <w:rPr>
          <w:rFonts w:eastAsia="黑体" w:hint="eastAsia"/>
          <w:kern w:val="0"/>
          <w:sz w:val="28"/>
          <w:szCs w:val="28"/>
        </w:rPr>
        <w:t>及分工</w:t>
      </w:r>
      <w:bookmarkEnd w:id="5"/>
      <w:bookmarkEnd w:id="6"/>
    </w:p>
    <w:p w14:paraId="4599EEDE" w14:textId="1DEC6EED" w:rsidR="00166C8F" w:rsidRDefault="00783B5F" w:rsidP="00166C8F">
      <w:pPr>
        <w:widowControl/>
        <w:adjustRightInd w:val="0"/>
        <w:snapToGrid w:val="0"/>
        <w:spacing w:line="360" w:lineRule="auto"/>
        <w:ind w:firstLineChars="200" w:firstLine="560"/>
        <w:jc w:val="left"/>
        <w:rPr>
          <w:sz w:val="28"/>
          <w:szCs w:val="28"/>
        </w:rPr>
      </w:pPr>
      <w:r w:rsidRPr="00261BC2">
        <w:rPr>
          <w:rFonts w:hint="eastAsia"/>
          <w:sz w:val="28"/>
          <w:szCs w:val="28"/>
        </w:rPr>
        <w:t>规范起草小组</w:t>
      </w:r>
      <w:r>
        <w:rPr>
          <w:rFonts w:hint="eastAsia"/>
          <w:sz w:val="28"/>
          <w:szCs w:val="28"/>
        </w:rPr>
        <w:t>主要由中国计量科学研究院刘</w:t>
      </w:r>
      <w:proofErr w:type="gramStart"/>
      <w:r>
        <w:rPr>
          <w:rFonts w:hint="eastAsia"/>
          <w:sz w:val="28"/>
          <w:szCs w:val="28"/>
        </w:rPr>
        <w:t>喆</w:t>
      </w:r>
      <w:proofErr w:type="gramEnd"/>
      <w:r>
        <w:rPr>
          <w:rFonts w:hint="eastAsia"/>
          <w:sz w:val="28"/>
          <w:szCs w:val="28"/>
        </w:rPr>
        <w:t>和张正东、山东计量</w:t>
      </w:r>
      <w:proofErr w:type="gramStart"/>
      <w:r>
        <w:rPr>
          <w:rFonts w:hint="eastAsia"/>
          <w:sz w:val="28"/>
          <w:szCs w:val="28"/>
        </w:rPr>
        <w:t>科学研究院张</w:t>
      </w:r>
      <w:proofErr w:type="gramEnd"/>
      <w:r>
        <w:rPr>
          <w:rFonts w:hint="eastAsia"/>
          <w:sz w:val="28"/>
          <w:szCs w:val="28"/>
        </w:rPr>
        <w:t>森、辽宁省计量科学研究院洪滔</w:t>
      </w:r>
      <w:r w:rsidR="00D61E61">
        <w:rPr>
          <w:rFonts w:hint="eastAsia"/>
          <w:sz w:val="28"/>
          <w:szCs w:val="28"/>
        </w:rPr>
        <w:t>、中国石化胜利油田</w:t>
      </w:r>
      <w:proofErr w:type="gramStart"/>
      <w:r w:rsidR="00D61E61">
        <w:rPr>
          <w:rFonts w:hint="eastAsia"/>
          <w:sz w:val="28"/>
          <w:szCs w:val="28"/>
        </w:rPr>
        <w:t>分公司</w:t>
      </w:r>
      <w:r w:rsidR="0015484F">
        <w:rPr>
          <w:rFonts w:hint="eastAsia"/>
          <w:sz w:val="28"/>
          <w:szCs w:val="28"/>
        </w:rPr>
        <w:t>贺东</w:t>
      </w:r>
      <w:proofErr w:type="gramEnd"/>
      <w:r w:rsidR="0015484F">
        <w:rPr>
          <w:rFonts w:hint="eastAsia"/>
          <w:sz w:val="28"/>
          <w:szCs w:val="28"/>
        </w:rPr>
        <w:t>旭</w:t>
      </w:r>
      <w:r w:rsidR="00166C8F">
        <w:rPr>
          <w:rFonts w:hint="eastAsia"/>
          <w:sz w:val="28"/>
          <w:szCs w:val="28"/>
        </w:rPr>
        <w:t>组成。其中刘喆负责材料整理收集以及规范相关材料的撰写工作；张森</w:t>
      </w:r>
      <w:r w:rsidR="0015484F">
        <w:rPr>
          <w:rFonts w:hint="eastAsia"/>
          <w:sz w:val="28"/>
          <w:szCs w:val="28"/>
        </w:rPr>
        <w:t>、</w:t>
      </w:r>
      <w:r w:rsidR="00166C8F">
        <w:rPr>
          <w:rFonts w:hint="eastAsia"/>
          <w:sz w:val="28"/>
          <w:szCs w:val="28"/>
        </w:rPr>
        <w:t>洪滔</w:t>
      </w:r>
      <w:r w:rsidR="0015484F">
        <w:rPr>
          <w:rFonts w:hint="eastAsia"/>
          <w:sz w:val="28"/>
          <w:szCs w:val="28"/>
        </w:rPr>
        <w:t>和贺东旭</w:t>
      </w:r>
      <w:r w:rsidR="00166C8F">
        <w:rPr>
          <w:rFonts w:hint="eastAsia"/>
          <w:sz w:val="28"/>
          <w:szCs w:val="28"/>
        </w:rPr>
        <w:t>负责凝点测定仪用户使用情况的调研工作</w:t>
      </w:r>
      <w:r w:rsidR="0015484F">
        <w:rPr>
          <w:rFonts w:hint="eastAsia"/>
          <w:sz w:val="28"/>
          <w:szCs w:val="28"/>
        </w:rPr>
        <w:t>及指标验证工作</w:t>
      </w:r>
      <w:r w:rsidR="00166C8F">
        <w:rPr>
          <w:rFonts w:hint="eastAsia"/>
          <w:sz w:val="28"/>
          <w:szCs w:val="28"/>
        </w:rPr>
        <w:t>；张正东负责项目整体的决策及进度的把控。</w:t>
      </w:r>
    </w:p>
    <w:p w14:paraId="748FEA2D" w14:textId="77777777" w:rsidR="00B3298C" w:rsidRDefault="00126055" w:rsidP="00261BC2">
      <w:pPr>
        <w:widowControl/>
        <w:adjustRightInd w:val="0"/>
        <w:snapToGrid w:val="0"/>
        <w:spacing w:line="360" w:lineRule="auto"/>
        <w:rPr>
          <w:rFonts w:eastAsia="黑体"/>
          <w:kern w:val="0"/>
          <w:sz w:val="28"/>
          <w:szCs w:val="28"/>
        </w:rPr>
      </w:pPr>
      <w:r>
        <w:rPr>
          <w:rFonts w:eastAsia="黑体" w:hint="eastAsia"/>
          <w:kern w:val="0"/>
          <w:sz w:val="28"/>
          <w:szCs w:val="28"/>
        </w:rPr>
        <w:t xml:space="preserve">1.5  </w:t>
      </w:r>
      <w:r>
        <w:rPr>
          <w:rFonts w:eastAsia="黑体" w:hint="eastAsia"/>
          <w:kern w:val="0"/>
          <w:sz w:val="28"/>
          <w:szCs w:val="28"/>
        </w:rPr>
        <w:t>与相关国际技术文件的一致性程度、与国家标准的兼容情况</w:t>
      </w:r>
    </w:p>
    <w:p w14:paraId="439B7244" w14:textId="1B47A4C9" w:rsidR="00B3298C" w:rsidRPr="00166C8F" w:rsidRDefault="00166C8F" w:rsidP="00166C8F">
      <w:pPr>
        <w:widowControl/>
        <w:adjustRightInd w:val="0"/>
        <w:snapToGrid w:val="0"/>
        <w:spacing w:line="360" w:lineRule="auto"/>
        <w:ind w:firstLineChars="200" w:firstLine="560"/>
        <w:rPr>
          <w:rFonts w:eastAsia="黑体"/>
          <w:kern w:val="0"/>
          <w:sz w:val="28"/>
          <w:szCs w:val="28"/>
        </w:rPr>
      </w:pPr>
      <w:r w:rsidRPr="00166C8F">
        <w:rPr>
          <w:rFonts w:hint="eastAsia"/>
          <w:sz w:val="28"/>
          <w:szCs w:val="28"/>
        </w:rPr>
        <w:t>国外尚无凝点测定仪校准技术文件。</w:t>
      </w:r>
    </w:p>
    <w:p w14:paraId="3A8B55FA" w14:textId="77777777" w:rsidR="00B3298C" w:rsidRDefault="00126055" w:rsidP="00261BC2">
      <w:pPr>
        <w:adjustRightInd w:val="0"/>
        <w:snapToGrid w:val="0"/>
        <w:spacing w:beforeLines="50" w:before="156" w:afterLines="50" w:after="156" w:line="360" w:lineRule="auto"/>
        <w:rPr>
          <w:rFonts w:eastAsia="黑体"/>
          <w:sz w:val="28"/>
          <w:szCs w:val="28"/>
        </w:rPr>
      </w:pPr>
      <w:r>
        <w:rPr>
          <w:rFonts w:eastAsia="黑体" w:hint="eastAsia"/>
          <w:sz w:val="28"/>
          <w:szCs w:val="28"/>
        </w:rPr>
        <w:t xml:space="preserve">2  </w:t>
      </w:r>
      <w:r>
        <w:rPr>
          <w:rFonts w:eastAsia="黑体" w:hint="eastAsia"/>
          <w:sz w:val="28"/>
          <w:szCs w:val="28"/>
        </w:rPr>
        <w:t>规范的编制</w:t>
      </w:r>
      <w:r>
        <w:rPr>
          <w:rFonts w:eastAsia="黑体"/>
          <w:sz w:val="28"/>
          <w:szCs w:val="28"/>
        </w:rPr>
        <w:t>原则</w:t>
      </w:r>
      <w:r>
        <w:rPr>
          <w:rFonts w:eastAsia="黑体" w:hint="eastAsia"/>
          <w:sz w:val="28"/>
          <w:szCs w:val="28"/>
        </w:rPr>
        <w:t>和</w:t>
      </w:r>
      <w:r>
        <w:rPr>
          <w:rFonts w:eastAsia="黑体"/>
          <w:sz w:val="28"/>
          <w:szCs w:val="28"/>
        </w:rPr>
        <w:t>主要内容</w:t>
      </w:r>
    </w:p>
    <w:p w14:paraId="0CCAA302" w14:textId="77777777" w:rsidR="00B3298C" w:rsidRDefault="00126055" w:rsidP="00261BC2">
      <w:pPr>
        <w:widowControl/>
        <w:adjustRightInd w:val="0"/>
        <w:snapToGrid w:val="0"/>
        <w:spacing w:line="360" w:lineRule="auto"/>
        <w:jc w:val="left"/>
        <w:rPr>
          <w:rFonts w:ascii="黑体" w:eastAsia="黑体" w:hAnsi="黑体" w:cs="黑体"/>
          <w:sz w:val="28"/>
          <w:szCs w:val="28"/>
        </w:rPr>
      </w:pPr>
      <w:r>
        <w:rPr>
          <w:rFonts w:ascii="黑体" w:eastAsia="黑体" w:hAnsi="黑体" w:cs="黑体" w:hint="eastAsia"/>
          <w:sz w:val="28"/>
          <w:szCs w:val="28"/>
        </w:rPr>
        <w:t>2.1 规范的编制原则</w:t>
      </w:r>
    </w:p>
    <w:p w14:paraId="077989D9" w14:textId="1C6D76C9" w:rsidR="00B3298C" w:rsidRPr="009E7A2F" w:rsidRDefault="009E7A2F" w:rsidP="009E7A2F">
      <w:pPr>
        <w:adjustRightInd w:val="0"/>
        <w:snapToGrid w:val="0"/>
        <w:spacing w:line="360" w:lineRule="auto"/>
        <w:ind w:firstLineChars="200" w:firstLine="560"/>
        <w:rPr>
          <w:sz w:val="28"/>
          <w:szCs w:val="28"/>
        </w:rPr>
      </w:pPr>
      <w:r w:rsidRPr="00261BC2">
        <w:rPr>
          <w:rFonts w:hint="eastAsia"/>
          <w:sz w:val="28"/>
          <w:szCs w:val="28"/>
        </w:rPr>
        <w:t>规范起草小组依据</w:t>
      </w:r>
      <w:r w:rsidRPr="00261BC2">
        <w:rPr>
          <w:rFonts w:hint="eastAsia"/>
          <w:sz w:val="28"/>
          <w:szCs w:val="28"/>
        </w:rPr>
        <w:t>JJF 1001-2011</w:t>
      </w:r>
      <w:r w:rsidRPr="00261BC2">
        <w:rPr>
          <w:rFonts w:hint="eastAsia"/>
          <w:sz w:val="28"/>
          <w:szCs w:val="28"/>
        </w:rPr>
        <w:t>《通用计量术语及定义》、</w:t>
      </w:r>
      <w:r w:rsidRPr="00261BC2">
        <w:rPr>
          <w:rFonts w:hint="eastAsia"/>
          <w:sz w:val="28"/>
          <w:szCs w:val="28"/>
        </w:rPr>
        <w:t>JJF 1071-2010</w:t>
      </w:r>
      <w:r w:rsidRPr="00261BC2">
        <w:rPr>
          <w:rFonts w:hint="eastAsia"/>
          <w:sz w:val="28"/>
          <w:szCs w:val="28"/>
        </w:rPr>
        <w:t>《国家计量校准规范编写规则》和</w:t>
      </w:r>
      <w:r w:rsidRPr="00261BC2">
        <w:rPr>
          <w:rFonts w:hint="eastAsia"/>
          <w:sz w:val="28"/>
          <w:szCs w:val="28"/>
        </w:rPr>
        <w:t>JJF 1059.1-2012</w:t>
      </w:r>
      <w:r w:rsidRPr="00261BC2">
        <w:rPr>
          <w:rFonts w:hint="eastAsia"/>
          <w:sz w:val="28"/>
          <w:szCs w:val="28"/>
        </w:rPr>
        <w:t>《测量不确定度评定与表示》进行规范编写；规范起草小组参考</w:t>
      </w:r>
      <w:r w:rsidRPr="00261BC2">
        <w:rPr>
          <w:rFonts w:hint="eastAsia"/>
          <w:sz w:val="28"/>
          <w:szCs w:val="28"/>
        </w:rPr>
        <w:t>GB/T 510-2018</w:t>
      </w:r>
      <w:r w:rsidRPr="00261BC2">
        <w:rPr>
          <w:rFonts w:hint="eastAsia"/>
          <w:sz w:val="28"/>
          <w:szCs w:val="28"/>
        </w:rPr>
        <w:t>《石油产品凝点测定法》国家标准对规范主要技术指标和试验方法进行编写，并在大连智能仪器仪表有限公司</w:t>
      </w:r>
      <w:r w:rsidRPr="00261BC2">
        <w:rPr>
          <w:rFonts w:hint="eastAsia"/>
          <w:sz w:val="28"/>
          <w:szCs w:val="28"/>
        </w:rPr>
        <w:t>DZY-037</w:t>
      </w:r>
      <w:r w:rsidRPr="00261BC2">
        <w:rPr>
          <w:rFonts w:hint="eastAsia"/>
          <w:sz w:val="28"/>
          <w:szCs w:val="28"/>
        </w:rPr>
        <w:t>型、湖南津市市石油化工仪器有限公司的</w:t>
      </w:r>
      <w:r w:rsidRPr="00261BC2">
        <w:rPr>
          <w:rFonts w:hint="eastAsia"/>
          <w:sz w:val="28"/>
          <w:szCs w:val="28"/>
        </w:rPr>
        <w:t>JSR0908</w:t>
      </w:r>
      <w:r w:rsidRPr="00261BC2">
        <w:rPr>
          <w:rFonts w:hint="eastAsia"/>
          <w:sz w:val="28"/>
          <w:szCs w:val="28"/>
        </w:rPr>
        <w:t>型等凝点测定仪的检测数据进行了比对试验。</w:t>
      </w:r>
    </w:p>
    <w:p w14:paraId="74195164" w14:textId="77777777" w:rsidR="00B3298C" w:rsidRDefault="00126055" w:rsidP="00261BC2">
      <w:pPr>
        <w:widowControl/>
        <w:adjustRightInd w:val="0"/>
        <w:snapToGrid w:val="0"/>
        <w:spacing w:line="360" w:lineRule="auto"/>
        <w:jc w:val="left"/>
        <w:rPr>
          <w:rFonts w:ascii="黑体" w:eastAsia="黑体" w:hAnsi="黑体" w:cs="黑体"/>
          <w:sz w:val="28"/>
          <w:szCs w:val="28"/>
        </w:rPr>
      </w:pPr>
      <w:r>
        <w:rPr>
          <w:rFonts w:ascii="黑体" w:eastAsia="黑体" w:hAnsi="黑体" w:cs="黑体" w:hint="eastAsia"/>
          <w:sz w:val="28"/>
          <w:szCs w:val="28"/>
        </w:rPr>
        <w:t>2.2 规范的主要内容</w:t>
      </w:r>
    </w:p>
    <w:p w14:paraId="2B2C19DF" w14:textId="2F2F523F" w:rsidR="00FB4399" w:rsidRDefault="00FB4399" w:rsidP="00FB4399">
      <w:pPr>
        <w:adjustRightInd w:val="0"/>
        <w:snapToGrid w:val="0"/>
        <w:spacing w:line="360" w:lineRule="auto"/>
        <w:ind w:firstLineChars="200" w:firstLine="560"/>
        <w:rPr>
          <w:sz w:val="28"/>
          <w:szCs w:val="28"/>
        </w:rPr>
      </w:pPr>
      <w:r w:rsidRPr="00FB4399">
        <w:rPr>
          <w:rFonts w:hint="eastAsia"/>
          <w:sz w:val="28"/>
          <w:szCs w:val="28"/>
        </w:rPr>
        <w:lastRenderedPageBreak/>
        <w:t>本规范在编制格式上执行了</w:t>
      </w:r>
      <w:r w:rsidRPr="00FB4399">
        <w:rPr>
          <w:rFonts w:hint="eastAsia"/>
          <w:sz w:val="28"/>
          <w:szCs w:val="28"/>
        </w:rPr>
        <w:t>JJF1071-2010</w:t>
      </w:r>
      <w:r w:rsidRPr="00FB4399">
        <w:rPr>
          <w:rFonts w:hint="eastAsia"/>
          <w:sz w:val="28"/>
          <w:szCs w:val="28"/>
        </w:rPr>
        <w:t>《国家计量校准规范编写规则》，主要内容包括</w:t>
      </w:r>
      <w:r>
        <w:rPr>
          <w:sz w:val="28"/>
          <w:szCs w:val="28"/>
        </w:rPr>
        <w:t>9</w:t>
      </w:r>
      <w:r w:rsidRPr="00FB4399">
        <w:rPr>
          <w:rFonts w:hint="eastAsia"/>
          <w:sz w:val="28"/>
          <w:szCs w:val="28"/>
        </w:rPr>
        <w:t>个章节和</w:t>
      </w:r>
      <w:r>
        <w:rPr>
          <w:sz w:val="28"/>
          <w:szCs w:val="28"/>
        </w:rPr>
        <w:t>4</w:t>
      </w:r>
      <w:r w:rsidRPr="00FB4399">
        <w:rPr>
          <w:rFonts w:hint="eastAsia"/>
          <w:sz w:val="28"/>
          <w:szCs w:val="28"/>
        </w:rPr>
        <w:t>个附录</w:t>
      </w:r>
      <w:r w:rsidRPr="00FB4399">
        <w:rPr>
          <w:rFonts w:hint="eastAsia"/>
          <w:sz w:val="28"/>
          <w:szCs w:val="28"/>
        </w:rPr>
        <w:t xml:space="preserve">, </w:t>
      </w:r>
      <w:r w:rsidRPr="00FB4399">
        <w:rPr>
          <w:rFonts w:hint="eastAsia"/>
          <w:sz w:val="28"/>
          <w:szCs w:val="28"/>
        </w:rPr>
        <w:t>具体为：</w:t>
      </w:r>
      <w:r w:rsidRPr="00FB4399">
        <w:rPr>
          <w:rFonts w:hint="eastAsia"/>
          <w:sz w:val="28"/>
          <w:szCs w:val="28"/>
        </w:rPr>
        <w:t>1.</w:t>
      </w:r>
      <w:r w:rsidRPr="00FB4399">
        <w:rPr>
          <w:rFonts w:hint="eastAsia"/>
          <w:sz w:val="28"/>
          <w:szCs w:val="28"/>
        </w:rPr>
        <w:t>范围、</w:t>
      </w:r>
      <w:r w:rsidRPr="00FB4399">
        <w:rPr>
          <w:rFonts w:hint="eastAsia"/>
          <w:sz w:val="28"/>
          <w:szCs w:val="28"/>
        </w:rPr>
        <w:t>2.</w:t>
      </w:r>
      <w:r w:rsidRPr="00FB4399">
        <w:rPr>
          <w:rFonts w:hint="eastAsia"/>
          <w:sz w:val="28"/>
          <w:szCs w:val="28"/>
        </w:rPr>
        <w:t>引用文件、</w:t>
      </w:r>
      <w:r w:rsidRPr="00FB4399">
        <w:rPr>
          <w:rFonts w:hint="eastAsia"/>
          <w:sz w:val="28"/>
          <w:szCs w:val="28"/>
        </w:rPr>
        <w:t>3.</w:t>
      </w:r>
      <w:r w:rsidRPr="00FB4399">
        <w:rPr>
          <w:rFonts w:hint="eastAsia"/>
          <w:sz w:val="28"/>
          <w:szCs w:val="28"/>
        </w:rPr>
        <w:t>术语和计量单位、</w:t>
      </w:r>
      <w:r w:rsidRPr="00FB4399">
        <w:rPr>
          <w:rFonts w:hint="eastAsia"/>
          <w:sz w:val="28"/>
          <w:szCs w:val="28"/>
        </w:rPr>
        <w:t>4.</w:t>
      </w:r>
      <w:r w:rsidRPr="00FB4399">
        <w:rPr>
          <w:rFonts w:hint="eastAsia"/>
          <w:sz w:val="28"/>
          <w:szCs w:val="28"/>
        </w:rPr>
        <w:t>概述、</w:t>
      </w:r>
      <w:r w:rsidRPr="00FB4399">
        <w:rPr>
          <w:rFonts w:hint="eastAsia"/>
          <w:sz w:val="28"/>
          <w:szCs w:val="28"/>
        </w:rPr>
        <w:t>5.</w:t>
      </w:r>
      <w:r w:rsidRPr="00FB4399">
        <w:rPr>
          <w:rFonts w:hint="eastAsia"/>
          <w:sz w:val="28"/>
          <w:szCs w:val="28"/>
        </w:rPr>
        <w:t>计量特性、</w:t>
      </w:r>
      <w:r w:rsidRPr="00FB4399">
        <w:rPr>
          <w:rFonts w:hint="eastAsia"/>
          <w:sz w:val="28"/>
          <w:szCs w:val="28"/>
        </w:rPr>
        <w:t>6.</w:t>
      </w:r>
      <w:r w:rsidRPr="00FB4399">
        <w:rPr>
          <w:rFonts w:hint="eastAsia"/>
          <w:sz w:val="28"/>
          <w:szCs w:val="28"/>
        </w:rPr>
        <w:t>校准条件、</w:t>
      </w:r>
      <w:r w:rsidRPr="00FB4399">
        <w:rPr>
          <w:rFonts w:hint="eastAsia"/>
          <w:sz w:val="28"/>
          <w:szCs w:val="28"/>
        </w:rPr>
        <w:t>7.</w:t>
      </w:r>
      <w:r w:rsidRPr="00FB4399">
        <w:rPr>
          <w:rFonts w:hint="eastAsia"/>
          <w:sz w:val="28"/>
          <w:szCs w:val="28"/>
        </w:rPr>
        <w:t>校准项目和校准方法、</w:t>
      </w:r>
      <w:r w:rsidRPr="00FB4399">
        <w:rPr>
          <w:rFonts w:hint="eastAsia"/>
          <w:sz w:val="28"/>
          <w:szCs w:val="28"/>
        </w:rPr>
        <w:t>8.</w:t>
      </w:r>
      <w:r w:rsidRPr="00FB4399">
        <w:rPr>
          <w:rFonts w:hint="eastAsia"/>
          <w:sz w:val="28"/>
          <w:szCs w:val="28"/>
        </w:rPr>
        <w:t>校准结果表达、</w:t>
      </w:r>
      <w:r w:rsidRPr="00FB4399">
        <w:rPr>
          <w:rFonts w:hint="eastAsia"/>
          <w:sz w:val="28"/>
          <w:szCs w:val="28"/>
        </w:rPr>
        <w:t>9.</w:t>
      </w:r>
      <w:r w:rsidRPr="00FB4399">
        <w:rPr>
          <w:rFonts w:hint="eastAsia"/>
          <w:sz w:val="28"/>
          <w:szCs w:val="28"/>
        </w:rPr>
        <w:t>复校时间间隔、附录</w:t>
      </w:r>
      <w:r w:rsidRPr="00FB4399">
        <w:rPr>
          <w:rFonts w:hint="eastAsia"/>
          <w:sz w:val="28"/>
          <w:szCs w:val="28"/>
        </w:rPr>
        <w:t>A</w:t>
      </w:r>
      <w:r w:rsidRPr="00FB4399">
        <w:rPr>
          <w:rFonts w:hint="eastAsia"/>
          <w:sz w:val="28"/>
          <w:szCs w:val="28"/>
        </w:rPr>
        <w:t>校准记录参考格式、附录</w:t>
      </w:r>
      <w:r w:rsidRPr="00FB4399">
        <w:rPr>
          <w:rFonts w:hint="eastAsia"/>
          <w:sz w:val="28"/>
          <w:szCs w:val="28"/>
        </w:rPr>
        <w:t>B</w:t>
      </w:r>
      <w:r w:rsidRPr="00FB4399">
        <w:rPr>
          <w:rFonts w:hint="eastAsia"/>
          <w:sz w:val="28"/>
          <w:szCs w:val="28"/>
        </w:rPr>
        <w:t>校准证书内页参考格式、</w:t>
      </w:r>
      <w:r w:rsidR="00C843AF" w:rsidRPr="00FB4399">
        <w:rPr>
          <w:rFonts w:hint="eastAsia"/>
          <w:sz w:val="28"/>
          <w:szCs w:val="28"/>
        </w:rPr>
        <w:t>附录</w:t>
      </w:r>
      <w:r w:rsidR="00C843AF">
        <w:rPr>
          <w:sz w:val="28"/>
          <w:szCs w:val="28"/>
        </w:rPr>
        <w:t>C</w:t>
      </w:r>
      <w:r w:rsidR="00C843AF">
        <w:rPr>
          <w:rFonts w:hint="eastAsia"/>
          <w:sz w:val="28"/>
          <w:szCs w:val="28"/>
        </w:rPr>
        <w:t>温度</w:t>
      </w:r>
      <w:r w:rsidR="00C843AF" w:rsidRPr="00FB4399">
        <w:rPr>
          <w:rFonts w:hint="eastAsia"/>
          <w:sz w:val="28"/>
          <w:szCs w:val="28"/>
        </w:rPr>
        <w:t>示值误差不确定度评定示例</w:t>
      </w:r>
      <w:r w:rsidR="00C843AF">
        <w:rPr>
          <w:rFonts w:hint="eastAsia"/>
          <w:sz w:val="28"/>
          <w:szCs w:val="28"/>
        </w:rPr>
        <w:t>、</w:t>
      </w:r>
      <w:r w:rsidRPr="00FB4399">
        <w:rPr>
          <w:rFonts w:hint="eastAsia"/>
          <w:sz w:val="28"/>
          <w:szCs w:val="28"/>
        </w:rPr>
        <w:t>附录</w:t>
      </w:r>
      <w:r w:rsidR="00C843AF">
        <w:rPr>
          <w:sz w:val="28"/>
          <w:szCs w:val="28"/>
        </w:rPr>
        <w:t>D</w:t>
      </w:r>
      <w:r w:rsidRPr="00FB4399">
        <w:rPr>
          <w:rFonts w:hint="eastAsia"/>
          <w:sz w:val="28"/>
          <w:szCs w:val="28"/>
        </w:rPr>
        <w:t>凝点示值误差不确定度评定示例。</w:t>
      </w:r>
    </w:p>
    <w:p w14:paraId="159E4B7D" w14:textId="44988B7D" w:rsidR="00B3298C" w:rsidRDefault="00126055" w:rsidP="00261BC2">
      <w:pPr>
        <w:adjustRightInd w:val="0"/>
        <w:snapToGrid w:val="0"/>
        <w:spacing w:line="360" w:lineRule="auto"/>
        <w:rPr>
          <w:rFonts w:eastAsia="黑体"/>
          <w:sz w:val="28"/>
          <w:szCs w:val="28"/>
        </w:rPr>
      </w:pPr>
      <w:r>
        <w:rPr>
          <w:rFonts w:eastAsia="黑体" w:hint="eastAsia"/>
          <w:sz w:val="28"/>
          <w:szCs w:val="28"/>
        </w:rPr>
        <w:t xml:space="preserve">3  </w:t>
      </w:r>
      <w:r>
        <w:rPr>
          <w:rFonts w:eastAsia="黑体" w:hint="eastAsia"/>
          <w:sz w:val="28"/>
          <w:szCs w:val="28"/>
        </w:rPr>
        <w:t>主要</w:t>
      </w:r>
      <w:r>
        <w:rPr>
          <w:rFonts w:eastAsia="黑体"/>
          <w:sz w:val="28"/>
          <w:szCs w:val="28"/>
        </w:rPr>
        <w:t>试验</w:t>
      </w:r>
      <w:r>
        <w:rPr>
          <w:rFonts w:eastAsia="黑体" w:hint="eastAsia"/>
          <w:sz w:val="28"/>
          <w:szCs w:val="28"/>
        </w:rPr>
        <w:t>验证</w:t>
      </w:r>
      <w:r>
        <w:rPr>
          <w:rFonts w:eastAsia="黑体"/>
          <w:sz w:val="28"/>
          <w:szCs w:val="28"/>
        </w:rPr>
        <w:t>情况和预期达到的效果</w:t>
      </w:r>
    </w:p>
    <w:p w14:paraId="03269A7C" w14:textId="77777777" w:rsidR="00E81B73" w:rsidRDefault="00126055" w:rsidP="00261BC2">
      <w:pPr>
        <w:widowControl/>
        <w:adjustRightInd w:val="0"/>
        <w:snapToGrid w:val="0"/>
        <w:spacing w:line="360" w:lineRule="auto"/>
        <w:jc w:val="left"/>
        <w:rPr>
          <w:rFonts w:ascii="黑体" w:eastAsia="黑体" w:hAnsi="黑体" w:cs="黑体"/>
          <w:sz w:val="28"/>
          <w:szCs w:val="28"/>
        </w:rPr>
      </w:pPr>
      <w:r>
        <w:rPr>
          <w:rFonts w:ascii="黑体" w:eastAsia="黑体" w:hAnsi="黑体" w:cs="黑体" w:hint="eastAsia"/>
          <w:sz w:val="28"/>
          <w:szCs w:val="28"/>
        </w:rPr>
        <w:t>3.1  试验条件</w:t>
      </w:r>
    </w:p>
    <w:p w14:paraId="113CF901" w14:textId="77777777" w:rsidR="00E81B73" w:rsidRDefault="00E81B73" w:rsidP="00E81B73">
      <w:pPr>
        <w:widowControl/>
        <w:adjustRightInd w:val="0"/>
        <w:snapToGrid w:val="0"/>
        <w:spacing w:line="360" w:lineRule="auto"/>
        <w:ind w:firstLineChars="200" w:firstLine="560"/>
        <w:jc w:val="left"/>
        <w:rPr>
          <w:sz w:val="28"/>
          <w:szCs w:val="28"/>
        </w:rPr>
      </w:pPr>
      <w:r w:rsidRPr="00E81B73">
        <w:rPr>
          <w:rFonts w:hint="eastAsia"/>
          <w:sz w:val="28"/>
          <w:szCs w:val="28"/>
        </w:rPr>
        <w:t>本规范对试验条件下的温度、湿度等环境条件进行了规定</w:t>
      </w:r>
      <w:r>
        <w:rPr>
          <w:rFonts w:hint="eastAsia"/>
          <w:sz w:val="28"/>
          <w:szCs w:val="28"/>
        </w:rPr>
        <w:t>。</w:t>
      </w:r>
      <w:r w:rsidRPr="00E81B73">
        <w:rPr>
          <w:rFonts w:hint="eastAsia"/>
          <w:sz w:val="28"/>
          <w:szCs w:val="28"/>
        </w:rPr>
        <w:t>其中，环境温度范围为（</w:t>
      </w:r>
      <w:r w:rsidRPr="00E81B73">
        <w:rPr>
          <w:rFonts w:hint="eastAsia"/>
          <w:sz w:val="28"/>
          <w:szCs w:val="28"/>
        </w:rPr>
        <w:t>15~35</w:t>
      </w:r>
      <w:r w:rsidRPr="00E81B73">
        <w:rPr>
          <w:rFonts w:hint="eastAsia"/>
          <w:sz w:val="28"/>
          <w:szCs w:val="28"/>
        </w:rPr>
        <w:t>）℃；环境相对湿度不大于</w:t>
      </w:r>
      <w:r w:rsidRPr="00E81B73">
        <w:rPr>
          <w:rFonts w:hint="eastAsia"/>
          <w:sz w:val="28"/>
          <w:szCs w:val="28"/>
        </w:rPr>
        <w:t>85%</w:t>
      </w:r>
      <w:r w:rsidRPr="00E81B73">
        <w:rPr>
          <w:rFonts w:hint="eastAsia"/>
          <w:sz w:val="28"/>
          <w:szCs w:val="28"/>
        </w:rPr>
        <w:t>。</w:t>
      </w:r>
    </w:p>
    <w:p w14:paraId="26434C2D" w14:textId="49991810" w:rsidR="00B3298C" w:rsidRDefault="00126055" w:rsidP="00261BC2">
      <w:pPr>
        <w:widowControl/>
        <w:adjustRightInd w:val="0"/>
        <w:snapToGrid w:val="0"/>
        <w:spacing w:line="360" w:lineRule="auto"/>
        <w:jc w:val="left"/>
        <w:rPr>
          <w:rFonts w:ascii="黑体" w:eastAsia="黑体" w:hAnsi="黑体" w:cs="黑体"/>
          <w:sz w:val="28"/>
          <w:szCs w:val="28"/>
        </w:rPr>
      </w:pPr>
      <w:r>
        <w:rPr>
          <w:rFonts w:ascii="黑体" w:eastAsia="黑体" w:hAnsi="黑体" w:cs="黑体" w:hint="eastAsia"/>
          <w:sz w:val="28"/>
          <w:szCs w:val="28"/>
        </w:rPr>
        <w:t>3.2  试验方法</w:t>
      </w:r>
    </w:p>
    <w:p w14:paraId="2E3FEC08" w14:textId="20880E5F" w:rsidR="00B3298C" w:rsidRDefault="00C04F17" w:rsidP="00E81B73">
      <w:pPr>
        <w:widowControl/>
        <w:adjustRightInd w:val="0"/>
        <w:snapToGrid w:val="0"/>
        <w:spacing w:line="360" w:lineRule="auto"/>
        <w:ind w:firstLineChars="200" w:firstLine="560"/>
        <w:rPr>
          <w:sz w:val="28"/>
          <w:szCs w:val="28"/>
        </w:rPr>
      </w:pPr>
      <w:r w:rsidRPr="00C04F17">
        <w:rPr>
          <w:rFonts w:hint="eastAsia"/>
          <w:sz w:val="28"/>
          <w:szCs w:val="28"/>
        </w:rPr>
        <w:t>试验按照</w:t>
      </w:r>
      <w:r w:rsidRPr="00C04F17">
        <w:rPr>
          <w:rFonts w:hint="eastAsia"/>
          <w:sz w:val="28"/>
          <w:szCs w:val="28"/>
        </w:rPr>
        <w:t>GB/T 510-2018</w:t>
      </w:r>
      <w:r w:rsidRPr="00C04F17">
        <w:rPr>
          <w:rFonts w:hint="eastAsia"/>
          <w:sz w:val="28"/>
          <w:szCs w:val="28"/>
        </w:rPr>
        <w:t>《石油产品凝点测定法》要求进行。手动法要求，当试样温度加热到</w:t>
      </w:r>
      <w:r w:rsidRPr="00C04F17">
        <w:rPr>
          <w:rFonts w:hint="eastAsia"/>
          <w:sz w:val="28"/>
          <w:szCs w:val="28"/>
        </w:rPr>
        <w:t>50</w:t>
      </w:r>
      <w:r w:rsidRPr="00C04F17">
        <w:rPr>
          <w:rFonts w:hint="eastAsia"/>
          <w:sz w:val="28"/>
          <w:szCs w:val="28"/>
        </w:rPr>
        <w:t>℃±</w:t>
      </w:r>
      <w:r w:rsidRPr="00C04F17">
        <w:rPr>
          <w:rFonts w:hint="eastAsia"/>
          <w:sz w:val="28"/>
          <w:szCs w:val="28"/>
        </w:rPr>
        <w:t>1</w:t>
      </w:r>
      <w:r w:rsidRPr="00C04F17">
        <w:rPr>
          <w:rFonts w:hint="eastAsia"/>
          <w:sz w:val="28"/>
          <w:szCs w:val="28"/>
        </w:rPr>
        <w:t>℃时，从水浴中取出装有试样和温度计的试管，擦干后装入套管中，将套管和试管组件垂直固定在支架上，并在</w:t>
      </w:r>
      <w:proofErr w:type="gramStart"/>
      <w:r w:rsidRPr="00C04F17">
        <w:rPr>
          <w:rFonts w:hint="eastAsia"/>
          <w:sz w:val="28"/>
          <w:szCs w:val="28"/>
        </w:rPr>
        <w:t>室温下静置</w:t>
      </w:r>
      <w:proofErr w:type="gramEnd"/>
      <w:r w:rsidRPr="00C04F17">
        <w:rPr>
          <w:rFonts w:hint="eastAsia"/>
          <w:sz w:val="28"/>
          <w:szCs w:val="28"/>
        </w:rPr>
        <w:t>，直至试样冷却至</w:t>
      </w:r>
      <w:r w:rsidRPr="00C04F17">
        <w:rPr>
          <w:rFonts w:hint="eastAsia"/>
          <w:sz w:val="28"/>
          <w:szCs w:val="28"/>
        </w:rPr>
        <w:t>35</w:t>
      </w:r>
      <w:r w:rsidRPr="00C04F17">
        <w:rPr>
          <w:rFonts w:hint="eastAsia"/>
          <w:sz w:val="28"/>
          <w:szCs w:val="28"/>
        </w:rPr>
        <w:t>℃±</w:t>
      </w:r>
      <w:r w:rsidRPr="00C04F17">
        <w:rPr>
          <w:rFonts w:hint="eastAsia"/>
          <w:sz w:val="28"/>
          <w:szCs w:val="28"/>
        </w:rPr>
        <w:t>5</w:t>
      </w:r>
      <w:r w:rsidRPr="00C04F17">
        <w:rPr>
          <w:rFonts w:hint="eastAsia"/>
          <w:sz w:val="28"/>
          <w:szCs w:val="28"/>
        </w:rPr>
        <w:t>℃。然后将此组件浸入到冷却浴中，浴槽温度应比试样的预期凝点低</w:t>
      </w:r>
      <w:r w:rsidRPr="00C04F17">
        <w:rPr>
          <w:rFonts w:hint="eastAsia"/>
          <w:sz w:val="28"/>
          <w:szCs w:val="28"/>
        </w:rPr>
        <w:t>7</w:t>
      </w:r>
      <w:r w:rsidRPr="00C04F17">
        <w:rPr>
          <w:rFonts w:hint="eastAsia"/>
          <w:sz w:val="28"/>
          <w:szCs w:val="28"/>
        </w:rPr>
        <w:t>℃</w:t>
      </w:r>
      <w:r w:rsidRPr="00C04F17">
        <w:rPr>
          <w:rFonts w:hint="eastAsia"/>
          <w:sz w:val="28"/>
          <w:szCs w:val="28"/>
        </w:rPr>
        <w:t>~8</w:t>
      </w:r>
      <w:r w:rsidRPr="00C04F17">
        <w:rPr>
          <w:rFonts w:hint="eastAsia"/>
          <w:sz w:val="28"/>
          <w:szCs w:val="28"/>
        </w:rPr>
        <w:t>℃。当试验温度冷却到预期凝点时，将浸在冷却浴中的套管和试管组件倾斜，倾斜至与水平成</w:t>
      </w:r>
      <w:r w:rsidRPr="00C04F17">
        <w:rPr>
          <w:rFonts w:hint="eastAsia"/>
          <w:sz w:val="28"/>
          <w:szCs w:val="28"/>
        </w:rPr>
        <w:t>45</w:t>
      </w:r>
      <w:r w:rsidRPr="00C04F17">
        <w:rPr>
          <w:rFonts w:hint="eastAsia"/>
          <w:sz w:val="28"/>
          <w:szCs w:val="28"/>
        </w:rPr>
        <w:t>°，并保持</w:t>
      </w:r>
      <w:r w:rsidRPr="00C04F17">
        <w:rPr>
          <w:rFonts w:hint="eastAsia"/>
          <w:sz w:val="28"/>
          <w:szCs w:val="28"/>
        </w:rPr>
        <w:t>1min</w:t>
      </w:r>
      <w:r w:rsidRPr="00C04F17">
        <w:rPr>
          <w:rFonts w:hint="eastAsia"/>
          <w:sz w:val="28"/>
          <w:szCs w:val="28"/>
        </w:rPr>
        <w:t>。当试样液面位置有移动时，从套管中取出试管，并将试管重新加热至试样温度达到</w:t>
      </w:r>
      <w:r w:rsidRPr="00C04F17">
        <w:rPr>
          <w:rFonts w:hint="eastAsia"/>
          <w:sz w:val="28"/>
          <w:szCs w:val="28"/>
        </w:rPr>
        <w:t>50</w:t>
      </w:r>
      <w:r w:rsidRPr="00C04F17">
        <w:rPr>
          <w:rFonts w:hint="eastAsia"/>
          <w:sz w:val="28"/>
          <w:szCs w:val="28"/>
        </w:rPr>
        <w:t>℃±</w:t>
      </w:r>
      <w:r w:rsidRPr="00C04F17">
        <w:rPr>
          <w:rFonts w:hint="eastAsia"/>
          <w:sz w:val="28"/>
          <w:szCs w:val="28"/>
        </w:rPr>
        <w:t>1</w:t>
      </w:r>
      <w:r w:rsidRPr="00C04F17">
        <w:rPr>
          <w:rFonts w:hint="eastAsia"/>
          <w:sz w:val="28"/>
          <w:szCs w:val="28"/>
        </w:rPr>
        <w:t>℃，然后用比上次低</w:t>
      </w:r>
      <w:r w:rsidRPr="00C04F17">
        <w:rPr>
          <w:rFonts w:hint="eastAsia"/>
          <w:sz w:val="28"/>
          <w:szCs w:val="28"/>
        </w:rPr>
        <w:t>4</w:t>
      </w:r>
      <w:r w:rsidRPr="00C04F17">
        <w:rPr>
          <w:rFonts w:hint="eastAsia"/>
          <w:sz w:val="28"/>
          <w:szCs w:val="28"/>
        </w:rPr>
        <w:t>℃或其他更低的温度重新进行测定，直至某试验温度能使试样液面停止移动为止。当试样液面的位置没有移动时，从套管中取出试管，并将试管重新预热至试样达到</w:t>
      </w:r>
      <w:r w:rsidRPr="00C04F17">
        <w:rPr>
          <w:rFonts w:hint="eastAsia"/>
          <w:sz w:val="28"/>
          <w:szCs w:val="28"/>
        </w:rPr>
        <w:t>50</w:t>
      </w:r>
      <w:r w:rsidRPr="00C04F17">
        <w:rPr>
          <w:rFonts w:hint="eastAsia"/>
          <w:sz w:val="28"/>
          <w:szCs w:val="28"/>
        </w:rPr>
        <w:t>℃±</w:t>
      </w:r>
      <w:r w:rsidRPr="00C04F17">
        <w:rPr>
          <w:rFonts w:hint="eastAsia"/>
          <w:sz w:val="28"/>
          <w:szCs w:val="28"/>
        </w:rPr>
        <w:t>1</w:t>
      </w:r>
      <w:r w:rsidRPr="00C04F17">
        <w:rPr>
          <w:rFonts w:hint="eastAsia"/>
          <w:sz w:val="28"/>
          <w:szCs w:val="28"/>
        </w:rPr>
        <w:t>℃，然后用比上次试验温度高</w:t>
      </w:r>
      <w:r w:rsidRPr="00C04F17">
        <w:rPr>
          <w:rFonts w:hint="eastAsia"/>
          <w:sz w:val="28"/>
          <w:szCs w:val="28"/>
        </w:rPr>
        <w:t>4</w:t>
      </w:r>
      <w:r w:rsidRPr="00C04F17">
        <w:rPr>
          <w:rFonts w:hint="eastAsia"/>
          <w:sz w:val="28"/>
          <w:szCs w:val="28"/>
        </w:rPr>
        <w:t>℃或其他更高的温度重新进行测定。直至某试验温度能使试样液面有移动为止。找出凝点的温度范围（即液面位置从移动到不移动或从不移动到移动的温度范围）之后，选择比试样能够移动</w:t>
      </w:r>
      <w:r w:rsidRPr="00C04F17">
        <w:rPr>
          <w:rFonts w:hint="eastAsia"/>
          <w:sz w:val="28"/>
          <w:szCs w:val="28"/>
        </w:rPr>
        <w:lastRenderedPageBreak/>
        <w:t>的温度低</w:t>
      </w:r>
      <w:r w:rsidRPr="00C04F17">
        <w:rPr>
          <w:rFonts w:hint="eastAsia"/>
          <w:sz w:val="28"/>
          <w:szCs w:val="28"/>
        </w:rPr>
        <w:t>2</w:t>
      </w:r>
      <w:r w:rsidRPr="00C04F17">
        <w:rPr>
          <w:rFonts w:hint="eastAsia"/>
          <w:sz w:val="28"/>
          <w:szCs w:val="28"/>
        </w:rPr>
        <w:t>℃，或比试样不能移动的温度高</w:t>
      </w:r>
      <w:r w:rsidRPr="00C04F17">
        <w:rPr>
          <w:rFonts w:hint="eastAsia"/>
          <w:sz w:val="28"/>
          <w:szCs w:val="28"/>
        </w:rPr>
        <w:t>2</w:t>
      </w:r>
      <w:r w:rsidRPr="00C04F17">
        <w:rPr>
          <w:rFonts w:hint="eastAsia"/>
          <w:sz w:val="28"/>
          <w:szCs w:val="28"/>
        </w:rPr>
        <w:t>℃，重新进行试验。直至确定某试验温度能使试样液面停止移动而升高</w:t>
      </w:r>
      <w:r w:rsidRPr="00C04F17">
        <w:rPr>
          <w:rFonts w:hint="eastAsia"/>
          <w:sz w:val="28"/>
          <w:szCs w:val="28"/>
        </w:rPr>
        <w:t>2</w:t>
      </w:r>
      <w:r w:rsidRPr="00C04F17">
        <w:rPr>
          <w:rFonts w:hint="eastAsia"/>
          <w:sz w:val="28"/>
          <w:szCs w:val="28"/>
        </w:rPr>
        <w:t>℃试样液面又能够移动时，取试样液面不移动的温度，作为试样的凝点。自动法则是按照自动微量凝点仪的说明书选择合适试验程序开始试验。</w:t>
      </w:r>
    </w:p>
    <w:p w14:paraId="1E9C11C1" w14:textId="221CB50B" w:rsidR="00C04F17" w:rsidRDefault="00E81B73" w:rsidP="00E81B73">
      <w:pPr>
        <w:widowControl/>
        <w:adjustRightInd w:val="0"/>
        <w:snapToGrid w:val="0"/>
        <w:spacing w:line="360" w:lineRule="auto"/>
        <w:ind w:firstLineChars="200" w:firstLine="560"/>
        <w:rPr>
          <w:sz w:val="28"/>
          <w:szCs w:val="28"/>
        </w:rPr>
      </w:pPr>
      <w:r w:rsidRPr="00E81B73">
        <w:rPr>
          <w:rFonts w:hint="eastAsia"/>
          <w:sz w:val="28"/>
          <w:szCs w:val="28"/>
        </w:rPr>
        <w:t>每家实验室收到样品共</w:t>
      </w:r>
      <w:r w:rsidRPr="00E81B73">
        <w:rPr>
          <w:rFonts w:hint="eastAsia"/>
          <w:sz w:val="28"/>
          <w:szCs w:val="28"/>
        </w:rPr>
        <w:t>3</w:t>
      </w:r>
      <w:r w:rsidRPr="00E81B73">
        <w:rPr>
          <w:rFonts w:hint="eastAsia"/>
          <w:sz w:val="28"/>
          <w:szCs w:val="28"/>
        </w:rPr>
        <w:t>种，编号为</w:t>
      </w:r>
      <w:r w:rsidRPr="00E81B73">
        <w:rPr>
          <w:rFonts w:hint="eastAsia"/>
          <w:sz w:val="28"/>
          <w:szCs w:val="28"/>
        </w:rPr>
        <w:t>SPBW-1</w:t>
      </w:r>
      <w:r w:rsidRPr="00E81B73">
        <w:rPr>
          <w:rFonts w:hint="eastAsia"/>
          <w:sz w:val="28"/>
          <w:szCs w:val="28"/>
        </w:rPr>
        <w:t>、</w:t>
      </w:r>
      <w:r w:rsidRPr="00E81B73">
        <w:rPr>
          <w:rFonts w:hint="eastAsia"/>
          <w:sz w:val="28"/>
          <w:szCs w:val="28"/>
        </w:rPr>
        <w:t>SPBW-2</w:t>
      </w:r>
      <w:r w:rsidRPr="00E81B73">
        <w:rPr>
          <w:rFonts w:hint="eastAsia"/>
          <w:sz w:val="28"/>
          <w:szCs w:val="28"/>
        </w:rPr>
        <w:t>、</w:t>
      </w:r>
      <w:r w:rsidRPr="00E81B73">
        <w:rPr>
          <w:rFonts w:hint="eastAsia"/>
          <w:sz w:val="28"/>
          <w:szCs w:val="28"/>
        </w:rPr>
        <w:t>SPBW-3</w:t>
      </w:r>
      <w:r>
        <w:rPr>
          <w:rFonts w:hint="eastAsia"/>
          <w:sz w:val="28"/>
          <w:szCs w:val="28"/>
        </w:rPr>
        <w:t>，</w:t>
      </w:r>
      <w:r w:rsidRPr="00E81B73">
        <w:rPr>
          <w:rFonts w:hint="eastAsia"/>
          <w:sz w:val="28"/>
          <w:szCs w:val="28"/>
        </w:rPr>
        <w:t>每种样品</w:t>
      </w:r>
      <w:r w:rsidRPr="00E81B73">
        <w:rPr>
          <w:rFonts w:hint="eastAsia"/>
          <w:sz w:val="28"/>
          <w:szCs w:val="28"/>
        </w:rPr>
        <w:t>2</w:t>
      </w:r>
      <w:r w:rsidRPr="00E81B73">
        <w:rPr>
          <w:rFonts w:hint="eastAsia"/>
          <w:sz w:val="28"/>
          <w:szCs w:val="28"/>
        </w:rPr>
        <w:t>瓶，共</w:t>
      </w:r>
      <w:r w:rsidRPr="00E81B73">
        <w:rPr>
          <w:rFonts w:hint="eastAsia"/>
          <w:sz w:val="28"/>
          <w:szCs w:val="28"/>
        </w:rPr>
        <w:t>6</w:t>
      </w:r>
      <w:r w:rsidRPr="00E81B73">
        <w:rPr>
          <w:rFonts w:hint="eastAsia"/>
          <w:sz w:val="28"/>
          <w:szCs w:val="28"/>
        </w:rPr>
        <w:t>瓶。每种样品测试</w:t>
      </w:r>
      <w:r w:rsidRPr="00E81B73">
        <w:rPr>
          <w:rFonts w:hint="eastAsia"/>
          <w:sz w:val="28"/>
          <w:szCs w:val="28"/>
        </w:rPr>
        <w:t>2</w:t>
      </w:r>
      <w:r w:rsidRPr="00E81B73">
        <w:rPr>
          <w:rFonts w:hint="eastAsia"/>
          <w:sz w:val="28"/>
          <w:szCs w:val="28"/>
        </w:rPr>
        <w:t>个单元，每个单元独立取样</w:t>
      </w:r>
      <w:r w:rsidRPr="00E81B73">
        <w:rPr>
          <w:rFonts w:hint="eastAsia"/>
          <w:sz w:val="28"/>
          <w:szCs w:val="28"/>
        </w:rPr>
        <w:t>2</w:t>
      </w:r>
      <w:r w:rsidRPr="00E81B73">
        <w:rPr>
          <w:rFonts w:hint="eastAsia"/>
          <w:sz w:val="28"/>
          <w:szCs w:val="28"/>
        </w:rPr>
        <w:t>次进行测量，取</w:t>
      </w:r>
      <w:r w:rsidRPr="00E81B73">
        <w:rPr>
          <w:rFonts w:hint="eastAsia"/>
          <w:sz w:val="28"/>
          <w:szCs w:val="28"/>
        </w:rPr>
        <w:t>4</w:t>
      </w:r>
      <w:r w:rsidRPr="00E81B73">
        <w:rPr>
          <w:rFonts w:hint="eastAsia"/>
          <w:sz w:val="28"/>
          <w:szCs w:val="28"/>
        </w:rPr>
        <w:t>次测试结果平均值作为凝点值。所有试验数据保留到小数点后一位。</w:t>
      </w:r>
    </w:p>
    <w:p w14:paraId="5F70B862" w14:textId="77777777" w:rsidR="00B3298C" w:rsidRDefault="00126055" w:rsidP="00261BC2">
      <w:pPr>
        <w:widowControl/>
        <w:adjustRightInd w:val="0"/>
        <w:snapToGrid w:val="0"/>
        <w:spacing w:line="360" w:lineRule="auto"/>
        <w:jc w:val="left"/>
        <w:rPr>
          <w:rFonts w:ascii="黑体" w:eastAsia="黑体" w:hAnsi="黑体" w:cs="黑体"/>
          <w:sz w:val="28"/>
          <w:szCs w:val="28"/>
        </w:rPr>
      </w:pPr>
      <w:r>
        <w:rPr>
          <w:rFonts w:ascii="黑体" w:eastAsia="黑体" w:hAnsi="黑体" w:cs="黑体" w:hint="eastAsia"/>
          <w:sz w:val="28"/>
          <w:szCs w:val="28"/>
        </w:rPr>
        <w:t>3.3  试验结果、结论</w:t>
      </w:r>
    </w:p>
    <w:p w14:paraId="2BA7AFE8" w14:textId="6AB3D5B4" w:rsidR="00B3298C" w:rsidRDefault="00E81B73" w:rsidP="00E81B73">
      <w:pPr>
        <w:widowControl/>
        <w:adjustRightInd w:val="0"/>
        <w:snapToGrid w:val="0"/>
        <w:spacing w:line="360" w:lineRule="auto"/>
        <w:ind w:firstLineChars="200" w:firstLine="560"/>
        <w:rPr>
          <w:sz w:val="28"/>
          <w:szCs w:val="28"/>
        </w:rPr>
      </w:pPr>
      <w:bookmarkStart w:id="7" w:name="OLE_LINK4"/>
      <w:bookmarkStart w:id="8" w:name="OLE_LINK5"/>
      <w:bookmarkStart w:id="9" w:name="_GoBack"/>
      <w:r w:rsidRPr="00E81B73">
        <w:rPr>
          <w:rFonts w:hint="eastAsia"/>
          <w:sz w:val="28"/>
          <w:szCs w:val="28"/>
        </w:rPr>
        <w:t>依据</w:t>
      </w:r>
      <w:r w:rsidRPr="00E81B73">
        <w:rPr>
          <w:rFonts w:hint="eastAsia"/>
          <w:sz w:val="28"/>
          <w:szCs w:val="28"/>
        </w:rPr>
        <w:t>GB/T 510-2018</w:t>
      </w:r>
      <w:r w:rsidRPr="00E81B73">
        <w:rPr>
          <w:rFonts w:hint="eastAsia"/>
          <w:sz w:val="28"/>
          <w:szCs w:val="28"/>
        </w:rPr>
        <w:t>方法，累计获得校准数据</w:t>
      </w:r>
      <w:r w:rsidRPr="00E81B73">
        <w:rPr>
          <w:rFonts w:hint="eastAsia"/>
          <w:sz w:val="28"/>
          <w:szCs w:val="28"/>
        </w:rPr>
        <w:t>35</w:t>
      </w:r>
      <w:r w:rsidRPr="00E81B73">
        <w:rPr>
          <w:rFonts w:hint="eastAsia"/>
          <w:sz w:val="28"/>
          <w:szCs w:val="28"/>
        </w:rPr>
        <w:t>组，每组含</w:t>
      </w:r>
      <w:r w:rsidRPr="00E81B73">
        <w:rPr>
          <w:rFonts w:hint="eastAsia"/>
          <w:sz w:val="28"/>
          <w:szCs w:val="28"/>
        </w:rPr>
        <w:t>4</w:t>
      </w:r>
      <w:r w:rsidRPr="00E81B73">
        <w:rPr>
          <w:rFonts w:hint="eastAsia"/>
          <w:sz w:val="28"/>
          <w:szCs w:val="28"/>
        </w:rPr>
        <w:t>次测量数据，</w:t>
      </w:r>
      <w:bookmarkEnd w:id="7"/>
      <w:bookmarkEnd w:id="8"/>
      <w:bookmarkEnd w:id="9"/>
      <w:r w:rsidRPr="00E81B73">
        <w:rPr>
          <w:rFonts w:hint="eastAsia"/>
          <w:sz w:val="28"/>
          <w:szCs w:val="28"/>
        </w:rPr>
        <w:t>汇总数据如下表所示。其中，</w:t>
      </w:r>
      <w:r w:rsidRPr="00E81B73">
        <w:rPr>
          <w:rFonts w:hint="eastAsia"/>
          <w:sz w:val="28"/>
          <w:szCs w:val="28"/>
        </w:rPr>
        <w:t>SPBW-1</w:t>
      </w:r>
      <w:r w:rsidRPr="00E81B73">
        <w:rPr>
          <w:rFonts w:hint="eastAsia"/>
          <w:sz w:val="28"/>
          <w:szCs w:val="28"/>
        </w:rPr>
        <w:t>和</w:t>
      </w:r>
      <w:r w:rsidRPr="00E81B73">
        <w:rPr>
          <w:rFonts w:hint="eastAsia"/>
          <w:sz w:val="28"/>
          <w:szCs w:val="28"/>
        </w:rPr>
        <w:t>SPBW-2</w:t>
      </w:r>
      <w:r w:rsidRPr="00E81B73">
        <w:rPr>
          <w:rFonts w:hint="eastAsia"/>
          <w:sz w:val="28"/>
          <w:szCs w:val="28"/>
        </w:rPr>
        <w:t>测量数据</w:t>
      </w:r>
      <w:r w:rsidRPr="00E81B73">
        <w:rPr>
          <w:rFonts w:hint="eastAsia"/>
          <w:sz w:val="28"/>
          <w:szCs w:val="28"/>
        </w:rPr>
        <w:t>12</w:t>
      </w:r>
      <w:r w:rsidRPr="00E81B73">
        <w:rPr>
          <w:rFonts w:hint="eastAsia"/>
          <w:sz w:val="28"/>
          <w:szCs w:val="28"/>
        </w:rPr>
        <w:t>组，</w:t>
      </w:r>
      <w:r w:rsidRPr="00E81B73">
        <w:rPr>
          <w:rFonts w:hint="eastAsia"/>
          <w:sz w:val="28"/>
          <w:szCs w:val="28"/>
        </w:rPr>
        <w:t xml:space="preserve"> SPBW-</w:t>
      </w:r>
      <w:r>
        <w:rPr>
          <w:sz w:val="28"/>
          <w:szCs w:val="28"/>
        </w:rPr>
        <w:t>3</w:t>
      </w:r>
      <w:r w:rsidRPr="00E81B73">
        <w:rPr>
          <w:rFonts w:hint="eastAsia"/>
          <w:sz w:val="28"/>
          <w:szCs w:val="28"/>
        </w:rPr>
        <w:t>测量数据</w:t>
      </w:r>
      <w:r w:rsidRPr="00E81B73">
        <w:rPr>
          <w:rFonts w:hint="eastAsia"/>
          <w:sz w:val="28"/>
          <w:szCs w:val="28"/>
        </w:rPr>
        <w:t>11</w:t>
      </w:r>
      <w:r w:rsidRPr="00E81B73">
        <w:rPr>
          <w:rFonts w:hint="eastAsia"/>
          <w:sz w:val="28"/>
          <w:szCs w:val="28"/>
        </w:rPr>
        <w:t>组；自动法仪器</w:t>
      </w:r>
      <w:r w:rsidRPr="00E81B73">
        <w:rPr>
          <w:rFonts w:hint="eastAsia"/>
          <w:sz w:val="28"/>
          <w:szCs w:val="28"/>
        </w:rPr>
        <w:t>9</w:t>
      </w:r>
      <w:r w:rsidRPr="00E81B73">
        <w:rPr>
          <w:rFonts w:hint="eastAsia"/>
          <w:sz w:val="28"/>
          <w:szCs w:val="28"/>
        </w:rPr>
        <w:t>组，手动法仪器</w:t>
      </w:r>
      <w:r w:rsidRPr="00E81B73">
        <w:rPr>
          <w:rFonts w:hint="eastAsia"/>
          <w:sz w:val="28"/>
          <w:szCs w:val="28"/>
        </w:rPr>
        <w:t>26</w:t>
      </w:r>
      <w:r w:rsidRPr="00E81B73">
        <w:rPr>
          <w:rFonts w:hint="eastAsia"/>
          <w:sz w:val="28"/>
          <w:szCs w:val="28"/>
        </w:rPr>
        <w:t>组。</w:t>
      </w:r>
    </w:p>
    <w:p w14:paraId="2CDF7F04" w14:textId="77777777" w:rsidR="00B3298C" w:rsidRDefault="00126055" w:rsidP="00261BC2">
      <w:pPr>
        <w:adjustRightInd w:val="0"/>
        <w:snapToGrid w:val="0"/>
        <w:spacing w:line="360" w:lineRule="auto"/>
        <w:rPr>
          <w:rFonts w:eastAsia="黑体"/>
          <w:sz w:val="28"/>
          <w:szCs w:val="28"/>
        </w:rPr>
      </w:pPr>
      <w:r>
        <w:rPr>
          <w:rFonts w:eastAsia="黑体" w:hint="eastAsia"/>
          <w:sz w:val="28"/>
          <w:szCs w:val="28"/>
        </w:rPr>
        <w:t xml:space="preserve">4  </w:t>
      </w:r>
      <w:r>
        <w:rPr>
          <w:rFonts w:eastAsia="黑体" w:hint="eastAsia"/>
          <w:sz w:val="28"/>
          <w:szCs w:val="28"/>
        </w:rPr>
        <w:t>规范中重要条款的解释</w:t>
      </w:r>
      <w:r>
        <w:rPr>
          <w:rFonts w:eastAsia="黑体" w:hint="eastAsia"/>
          <w:sz w:val="28"/>
          <w:szCs w:val="28"/>
        </w:rPr>
        <w:t xml:space="preserve">  </w:t>
      </w:r>
    </w:p>
    <w:p w14:paraId="37E7E819" w14:textId="0D722B79" w:rsidR="00E81B73" w:rsidRPr="00E81B73" w:rsidRDefault="00E81B73" w:rsidP="00E81B73">
      <w:pPr>
        <w:adjustRightInd w:val="0"/>
        <w:snapToGrid w:val="0"/>
        <w:spacing w:line="360" w:lineRule="auto"/>
        <w:rPr>
          <w:sz w:val="28"/>
          <w:szCs w:val="28"/>
        </w:rPr>
      </w:pPr>
      <w:r w:rsidRPr="00E81B73">
        <w:rPr>
          <w:rFonts w:hint="eastAsia"/>
          <w:sz w:val="28"/>
          <w:szCs w:val="28"/>
        </w:rPr>
        <w:t>（</w:t>
      </w:r>
      <w:r>
        <w:rPr>
          <w:sz w:val="28"/>
          <w:szCs w:val="28"/>
        </w:rPr>
        <w:t>1</w:t>
      </w:r>
      <w:r w:rsidRPr="00E81B73">
        <w:rPr>
          <w:rFonts w:hint="eastAsia"/>
          <w:sz w:val="28"/>
          <w:szCs w:val="28"/>
        </w:rPr>
        <w:t>）主要计量特性的确定</w:t>
      </w:r>
    </w:p>
    <w:p w14:paraId="4031D49A" w14:textId="5103F348" w:rsidR="00B3298C" w:rsidRDefault="00E81B73" w:rsidP="00E81B73">
      <w:pPr>
        <w:adjustRightInd w:val="0"/>
        <w:snapToGrid w:val="0"/>
        <w:spacing w:line="360" w:lineRule="auto"/>
        <w:ind w:firstLineChars="200" w:firstLine="560"/>
        <w:rPr>
          <w:sz w:val="28"/>
          <w:szCs w:val="28"/>
        </w:rPr>
      </w:pPr>
      <w:r w:rsidRPr="00E81B73">
        <w:rPr>
          <w:rFonts w:hint="eastAsia"/>
          <w:sz w:val="28"/>
          <w:szCs w:val="28"/>
        </w:rPr>
        <w:t>本规范以大连智能仪器仪表有限公司</w:t>
      </w:r>
      <w:r w:rsidRPr="00E81B73">
        <w:rPr>
          <w:rFonts w:hint="eastAsia"/>
          <w:sz w:val="28"/>
          <w:szCs w:val="28"/>
        </w:rPr>
        <w:t>DZY-037</w:t>
      </w:r>
      <w:r w:rsidRPr="00E81B73">
        <w:rPr>
          <w:rFonts w:hint="eastAsia"/>
          <w:sz w:val="28"/>
          <w:szCs w:val="28"/>
        </w:rPr>
        <w:t>型、湖南津市市石油化工仪器有限公司的</w:t>
      </w:r>
      <w:r w:rsidRPr="00E81B73">
        <w:rPr>
          <w:rFonts w:hint="eastAsia"/>
          <w:sz w:val="28"/>
          <w:szCs w:val="28"/>
        </w:rPr>
        <w:t>JSR0908</w:t>
      </w:r>
      <w:r w:rsidRPr="00E81B73">
        <w:rPr>
          <w:rFonts w:hint="eastAsia"/>
          <w:sz w:val="28"/>
          <w:szCs w:val="28"/>
        </w:rPr>
        <w:t>型等众多品牌典型仪器设备的计量特性为依据，在前期试验的基础上，确定了主要计量特性，具体试验数据</w:t>
      </w:r>
      <w:proofErr w:type="gramStart"/>
      <w:r w:rsidRPr="00E81B73">
        <w:rPr>
          <w:rFonts w:hint="eastAsia"/>
          <w:sz w:val="28"/>
          <w:szCs w:val="28"/>
        </w:rPr>
        <w:t>见试验</w:t>
      </w:r>
      <w:proofErr w:type="gramEnd"/>
      <w:r w:rsidRPr="00E81B73">
        <w:rPr>
          <w:rFonts w:hint="eastAsia"/>
          <w:sz w:val="28"/>
          <w:szCs w:val="28"/>
        </w:rPr>
        <w:t>报告。校准项目的测量设备及计量特性如</w:t>
      </w:r>
      <w:r>
        <w:rPr>
          <w:rFonts w:hint="eastAsia"/>
          <w:sz w:val="28"/>
          <w:szCs w:val="28"/>
        </w:rPr>
        <w:t>下表</w:t>
      </w:r>
      <w:r w:rsidRPr="00E81B73">
        <w:rPr>
          <w:rFonts w:hint="eastAsia"/>
          <w:sz w:val="28"/>
          <w:szCs w:val="28"/>
        </w:rPr>
        <w:t>所示：</w:t>
      </w:r>
    </w:p>
    <w:p w14:paraId="6C67B87D" w14:textId="77777777" w:rsidR="00E81B73" w:rsidRPr="00E81B73" w:rsidRDefault="00E81B73" w:rsidP="00E81B73">
      <w:pPr>
        <w:tabs>
          <w:tab w:val="left" w:pos="540"/>
          <w:tab w:val="left" w:pos="570"/>
        </w:tabs>
        <w:autoSpaceDE w:val="0"/>
        <w:autoSpaceDN w:val="0"/>
        <w:adjustRightInd w:val="0"/>
        <w:snapToGrid w:val="0"/>
        <w:spacing w:line="360" w:lineRule="auto"/>
        <w:jc w:val="center"/>
        <w:rPr>
          <w:b/>
          <w:bCs/>
          <w:sz w:val="24"/>
          <w:lang w:val="zh-CN"/>
        </w:rPr>
      </w:pPr>
      <w:r w:rsidRPr="00E81B73">
        <w:rPr>
          <w:b/>
          <w:bCs/>
          <w:sz w:val="24"/>
          <w:lang w:val="zh-CN"/>
        </w:rPr>
        <w:t>表</w:t>
      </w:r>
      <w:r w:rsidRPr="00E81B73">
        <w:rPr>
          <w:b/>
          <w:bCs/>
          <w:sz w:val="24"/>
          <w:lang w:val="zh-CN"/>
        </w:rPr>
        <w:t xml:space="preserve">3 </w:t>
      </w:r>
      <w:r w:rsidRPr="00E81B73">
        <w:rPr>
          <w:b/>
          <w:bCs/>
          <w:sz w:val="24"/>
          <w:lang w:val="zh-CN"/>
        </w:rPr>
        <w:t>校准项目及计量特性</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66"/>
        <w:gridCol w:w="4394"/>
      </w:tblGrid>
      <w:tr w:rsidR="00E81B73" w:rsidRPr="00610955" w14:paraId="72F856AD" w14:textId="77777777" w:rsidTr="00610955">
        <w:trPr>
          <w:trHeight w:val="353"/>
        </w:trPr>
        <w:tc>
          <w:tcPr>
            <w:tcW w:w="708" w:type="dxa"/>
            <w:shd w:val="clear" w:color="auto" w:fill="auto"/>
            <w:vAlign w:val="center"/>
          </w:tcPr>
          <w:p w14:paraId="621D93FC" w14:textId="77777777" w:rsidR="00E81B73" w:rsidRPr="00610955" w:rsidRDefault="00E81B73" w:rsidP="00610955">
            <w:pPr>
              <w:tabs>
                <w:tab w:val="left" w:pos="540"/>
              </w:tabs>
              <w:autoSpaceDE w:val="0"/>
              <w:autoSpaceDN w:val="0"/>
              <w:adjustRightInd w:val="0"/>
              <w:snapToGrid w:val="0"/>
              <w:spacing w:beforeLines="50" w:before="156" w:afterLines="50" w:after="156"/>
              <w:jc w:val="center"/>
              <w:rPr>
                <w:b/>
                <w:sz w:val="24"/>
                <w:lang w:val="zh-CN"/>
              </w:rPr>
            </w:pPr>
            <w:r w:rsidRPr="00610955">
              <w:rPr>
                <w:b/>
                <w:sz w:val="24"/>
                <w:lang w:val="zh-CN"/>
              </w:rPr>
              <w:t>序号</w:t>
            </w:r>
          </w:p>
        </w:tc>
        <w:tc>
          <w:tcPr>
            <w:tcW w:w="3466" w:type="dxa"/>
            <w:shd w:val="clear" w:color="auto" w:fill="auto"/>
            <w:vAlign w:val="center"/>
          </w:tcPr>
          <w:p w14:paraId="23C31F10" w14:textId="77777777" w:rsidR="00E81B73" w:rsidRPr="00610955" w:rsidRDefault="00E81B73" w:rsidP="00610955">
            <w:pPr>
              <w:tabs>
                <w:tab w:val="left" w:pos="0"/>
              </w:tabs>
              <w:autoSpaceDE w:val="0"/>
              <w:autoSpaceDN w:val="0"/>
              <w:adjustRightInd w:val="0"/>
              <w:snapToGrid w:val="0"/>
              <w:spacing w:beforeLines="50" w:before="156" w:afterLines="50" w:after="156"/>
              <w:jc w:val="center"/>
              <w:rPr>
                <w:b/>
                <w:sz w:val="24"/>
                <w:lang w:val="zh-CN"/>
              </w:rPr>
            </w:pPr>
            <w:r w:rsidRPr="00610955">
              <w:rPr>
                <w:b/>
                <w:sz w:val="24"/>
                <w:lang w:val="zh-CN"/>
              </w:rPr>
              <w:t>校准项目</w:t>
            </w:r>
          </w:p>
        </w:tc>
        <w:tc>
          <w:tcPr>
            <w:tcW w:w="4394" w:type="dxa"/>
            <w:shd w:val="clear" w:color="auto" w:fill="auto"/>
            <w:vAlign w:val="center"/>
          </w:tcPr>
          <w:p w14:paraId="0F8B6D9A" w14:textId="77777777" w:rsidR="00E81B73" w:rsidRPr="00610955" w:rsidRDefault="00E81B73" w:rsidP="00610955">
            <w:pPr>
              <w:adjustRightInd w:val="0"/>
              <w:snapToGrid w:val="0"/>
              <w:spacing w:beforeLines="50" w:before="156" w:afterLines="50" w:after="156"/>
              <w:jc w:val="center"/>
              <w:rPr>
                <w:b/>
                <w:sz w:val="24"/>
              </w:rPr>
            </w:pPr>
            <w:r w:rsidRPr="00610955">
              <w:rPr>
                <w:b/>
                <w:sz w:val="24"/>
              </w:rPr>
              <w:t>计量特性</w:t>
            </w:r>
          </w:p>
        </w:tc>
      </w:tr>
      <w:tr w:rsidR="00E81B73" w:rsidRPr="00610955" w14:paraId="71B91CE6" w14:textId="77777777" w:rsidTr="00610955">
        <w:trPr>
          <w:trHeight w:val="298"/>
        </w:trPr>
        <w:tc>
          <w:tcPr>
            <w:tcW w:w="708" w:type="dxa"/>
            <w:shd w:val="clear" w:color="auto" w:fill="auto"/>
            <w:vAlign w:val="center"/>
          </w:tcPr>
          <w:p w14:paraId="3C2231B8" w14:textId="4BD29BF8" w:rsidR="00E81B73" w:rsidRPr="00610955" w:rsidRDefault="00A73576" w:rsidP="00610955">
            <w:pPr>
              <w:tabs>
                <w:tab w:val="left" w:pos="540"/>
              </w:tabs>
              <w:autoSpaceDE w:val="0"/>
              <w:autoSpaceDN w:val="0"/>
              <w:adjustRightInd w:val="0"/>
              <w:snapToGrid w:val="0"/>
              <w:spacing w:beforeLines="50" w:before="156" w:afterLines="50" w:after="156"/>
              <w:jc w:val="center"/>
              <w:rPr>
                <w:sz w:val="24"/>
                <w:lang w:val="zh-CN"/>
              </w:rPr>
            </w:pPr>
            <w:r>
              <w:rPr>
                <w:sz w:val="24"/>
                <w:lang w:val="zh-CN"/>
              </w:rPr>
              <w:t>1</w:t>
            </w:r>
          </w:p>
        </w:tc>
        <w:tc>
          <w:tcPr>
            <w:tcW w:w="3466" w:type="dxa"/>
            <w:shd w:val="clear" w:color="auto" w:fill="auto"/>
            <w:vAlign w:val="center"/>
          </w:tcPr>
          <w:p w14:paraId="06DA37E3" w14:textId="7E16AE2B" w:rsidR="00E81B73" w:rsidRPr="00610955" w:rsidRDefault="00A73576" w:rsidP="00610955">
            <w:pPr>
              <w:tabs>
                <w:tab w:val="left" w:pos="0"/>
              </w:tabs>
              <w:autoSpaceDE w:val="0"/>
              <w:autoSpaceDN w:val="0"/>
              <w:adjustRightInd w:val="0"/>
              <w:snapToGrid w:val="0"/>
              <w:spacing w:beforeLines="50" w:before="156" w:afterLines="50" w:after="156"/>
              <w:jc w:val="center"/>
              <w:rPr>
                <w:sz w:val="24"/>
                <w:lang w:val="zh-CN"/>
              </w:rPr>
            </w:pPr>
            <w:r>
              <w:rPr>
                <w:rFonts w:hint="eastAsia"/>
                <w:sz w:val="24"/>
                <w:lang w:val="zh-CN"/>
              </w:rPr>
              <w:t>温度示值误差</w:t>
            </w:r>
          </w:p>
        </w:tc>
        <w:tc>
          <w:tcPr>
            <w:tcW w:w="4394" w:type="dxa"/>
            <w:shd w:val="clear" w:color="auto" w:fill="auto"/>
            <w:vAlign w:val="center"/>
          </w:tcPr>
          <w:p w14:paraId="7C9EC359" w14:textId="6A7A5B48" w:rsidR="00E81B73" w:rsidRPr="00610955" w:rsidRDefault="00A73576" w:rsidP="00610955">
            <w:pPr>
              <w:adjustRightInd w:val="0"/>
              <w:snapToGrid w:val="0"/>
              <w:jc w:val="center"/>
              <w:rPr>
                <w:color w:val="000000" w:themeColor="text1"/>
                <w:sz w:val="24"/>
              </w:rPr>
            </w:pPr>
            <w:r w:rsidRPr="00610955">
              <w:rPr>
                <w:color w:val="000000" w:themeColor="text1"/>
                <w:sz w:val="24"/>
              </w:rPr>
              <w:t>不超过</w:t>
            </w:r>
            <w:r w:rsidRPr="00610955">
              <w:rPr>
                <w:color w:val="000000" w:themeColor="text1"/>
                <w:sz w:val="24"/>
              </w:rPr>
              <w:t>±</w:t>
            </w:r>
            <w:r>
              <w:rPr>
                <w:color w:val="000000" w:themeColor="text1"/>
                <w:sz w:val="24"/>
              </w:rPr>
              <w:t>1</w:t>
            </w:r>
            <w:r w:rsidRPr="00610955">
              <w:rPr>
                <w:color w:val="000000" w:themeColor="text1"/>
                <w:sz w:val="24"/>
              </w:rPr>
              <w:t>.0℃</w:t>
            </w:r>
          </w:p>
        </w:tc>
      </w:tr>
      <w:tr w:rsidR="00A73576" w:rsidRPr="00610955" w14:paraId="71501CE3" w14:textId="77777777" w:rsidTr="00610955">
        <w:trPr>
          <w:trHeight w:val="298"/>
        </w:trPr>
        <w:tc>
          <w:tcPr>
            <w:tcW w:w="708" w:type="dxa"/>
            <w:shd w:val="clear" w:color="auto" w:fill="auto"/>
            <w:vAlign w:val="center"/>
          </w:tcPr>
          <w:p w14:paraId="04144295" w14:textId="794E5392" w:rsidR="00A73576" w:rsidRPr="00610955" w:rsidRDefault="00A73576" w:rsidP="00A73576">
            <w:pPr>
              <w:tabs>
                <w:tab w:val="left" w:pos="540"/>
              </w:tabs>
              <w:autoSpaceDE w:val="0"/>
              <w:autoSpaceDN w:val="0"/>
              <w:adjustRightInd w:val="0"/>
              <w:snapToGrid w:val="0"/>
              <w:spacing w:beforeLines="50" w:before="156" w:afterLines="50" w:after="156"/>
              <w:jc w:val="center"/>
              <w:rPr>
                <w:sz w:val="24"/>
                <w:lang w:val="zh-CN"/>
              </w:rPr>
            </w:pPr>
            <w:r>
              <w:rPr>
                <w:sz w:val="24"/>
                <w:lang w:val="zh-CN"/>
              </w:rPr>
              <w:t>2</w:t>
            </w:r>
          </w:p>
        </w:tc>
        <w:tc>
          <w:tcPr>
            <w:tcW w:w="3466" w:type="dxa"/>
            <w:shd w:val="clear" w:color="auto" w:fill="auto"/>
            <w:vAlign w:val="center"/>
          </w:tcPr>
          <w:p w14:paraId="184AEE33" w14:textId="6A2A86E8" w:rsidR="00A73576" w:rsidRPr="00610955" w:rsidRDefault="00A73576" w:rsidP="00A73576">
            <w:pPr>
              <w:tabs>
                <w:tab w:val="left" w:pos="0"/>
              </w:tabs>
              <w:autoSpaceDE w:val="0"/>
              <w:autoSpaceDN w:val="0"/>
              <w:adjustRightInd w:val="0"/>
              <w:snapToGrid w:val="0"/>
              <w:spacing w:beforeLines="50" w:before="156" w:afterLines="50" w:after="156"/>
              <w:jc w:val="center"/>
              <w:rPr>
                <w:sz w:val="24"/>
                <w:lang w:val="zh-CN"/>
              </w:rPr>
            </w:pPr>
            <w:r w:rsidRPr="00610955">
              <w:rPr>
                <w:sz w:val="24"/>
                <w:lang w:val="zh-CN"/>
              </w:rPr>
              <w:t>凝点示值误差</w:t>
            </w:r>
          </w:p>
        </w:tc>
        <w:tc>
          <w:tcPr>
            <w:tcW w:w="4394" w:type="dxa"/>
            <w:shd w:val="clear" w:color="auto" w:fill="auto"/>
            <w:vAlign w:val="center"/>
          </w:tcPr>
          <w:p w14:paraId="0DA0EA7B" w14:textId="7C86745A" w:rsidR="00A73576" w:rsidRPr="00610955" w:rsidRDefault="00A73576" w:rsidP="00A73576">
            <w:pPr>
              <w:adjustRightInd w:val="0"/>
              <w:snapToGrid w:val="0"/>
              <w:jc w:val="center"/>
              <w:rPr>
                <w:color w:val="000000" w:themeColor="text1"/>
                <w:sz w:val="24"/>
              </w:rPr>
            </w:pPr>
            <w:r w:rsidRPr="00610955">
              <w:rPr>
                <w:color w:val="000000" w:themeColor="text1"/>
                <w:sz w:val="24"/>
              </w:rPr>
              <w:t>不超过</w:t>
            </w:r>
            <w:r w:rsidRPr="00610955">
              <w:rPr>
                <w:color w:val="000000" w:themeColor="text1"/>
                <w:sz w:val="24"/>
              </w:rPr>
              <w:t>±6.0℃</w:t>
            </w:r>
          </w:p>
        </w:tc>
      </w:tr>
      <w:tr w:rsidR="00A73576" w:rsidRPr="00610955" w14:paraId="798C90B8" w14:textId="77777777" w:rsidTr="00610955">
        <w:trPr>
          <w:trHeight w:val="274"/>
        </w:trPr>
        <w:tc>
          <w:tcPr>
            <w:tcW w:w="708" w:type="dxa"/>
            <w:shd w:val="clear" w:color="auto" w:fill="auto"/>
            <w:vAlign w:val="center"/>
          </w:tcPr>
          <w:p w14:paraId="65968F3A" w14:textId="23A31C33" w:rsidR="00A73576" w:rsidRPr="00610955" w:rsidRDefault="00A73576" w:rsidP="00A73576">
            <w:pPr>
              <w:tabs>
                <w:tab w:val="left" w:pos="540"/>
              </w:tabs>
              <w:autoSpaceDE w:val="0"/>
              <w:autoSpaceDN w:val="0"/>
              <w:adjustRightInd w:val="0"/>
              <w:snapToGrid w:val="0"/>
              <w:spacing w:beforeLines="50" w:before="156" w:afterLines="50" w:after="156"/>
              <w:jc w:val="center"/>
              <w:rPr>
                <w:sz w:val="24"/>
                <w:lang w:val="zh-CN"/>
              </w:rPr>
            </w:pPr>
            <w:r>
              <w:rPr>
                <w:sz w:val="24"/>
                <w:lang w:val="zh-CN"/>
              </w:rPr>
              <w:t>3</w:t>
            </w:r>
          </w:p>
        </w:tc>
        <w:tc>
          <w:tcPr>
            <w:tcW w:w="3466" w:type="dxa"/>
            <w:shd w:val="clear" w:color="auto" w:fill="auto"/>
            <w:vAlign w:val="center"/>
          </w:tcPr>
          <w:p w14:paraId="5C017EA8" w14:textId="77777777" w:rsidR="00A73576" w:rsidRPr="00610955" w:rsidRDefault="00A73576" w:rsidP="00A73576">
            <w:pPr>
              <w:tabs>
                <w:tab w:val="left" w:pos="0"/>
              </w:tabs>
              <w:autoSpaceDE w:val="0"/>
              <w:autoSpaceDN w:val="0"/>
              <w:adjustRightInd w:val="0"/>
              <w:snapToGrid w:val="0"/>
              <w:spacing w:beforeLines="50" w:before="156" w:afterLines="50" w:after="156"/>
              <w:jc w:val="center"/>
              <w:rPr>
                <w:sz w:val="24"/>
                <w:lang w:val="zh-CN"/>
              </w:rPr>
            </w:pPr>
            <w:r w:rsidRPr="00610955">
              <w:rPr>
                <w:sz w:val="24"/>
                <w:lang w:val="zh-CN"/>
              </w:rPr>
              <w:t>凝点示值重复性</w:t>
            </w:r>
          </w:p>
        </w:tc>
        <w:tc>
          <w:tcPr>
            <w:tcW w:w="4394" w:type="dxa"/>
            <w:shd w:val="clear" w:color="auto" w:fill="auto"/>
            <w:vAlign w:val="center"/>
          </w:tcPr>
          <w:p w14:paraId="4064E406" w14:textId="77777777" w:rsidR="00A73576" w:rsidRPr="00610955" w:rsidRDefault="00A73576" w:rsidP="00A73576">
            <w:pPr>
              <w:adjustRightInd w:val="0"/>
              <w:snapToGrid w:val="0"/>
              <w:jc w:val="center"/>
              <w:rPr>
                <w:color w:val="000000" w:themeColor="text1"/>
                <w:sz w:val="24"/>
              </w:rPr>
            </w:pPr>
            <w:r w:rsidRPr="00610955">
              <w:rPr>
                <w:color w:val="000000" w:themeColor="text1"/>
                <w:sz w:val="24"/>
              </w:rPr>
              <w:t>2.0℃</w:t>
            </w:r>
          </w:p>
        </w:tc>
      </w:tr>
    </w:tbl>
    <w:p w14:paraId="1A687D2A" w14:textId="77777777" w:rsidR="00B3298C" w:rsidRDefault="00126055" w:rsidP="00261BC2">
      <w:pPr>
        <w:adjustRightInd w:val="0"/>
        <w:snapToGrid w:val="0"/>
        <w:spacing w:line="360" w:lineRule="auto"/>
        <w:rPr>
          <w:rFonts w:eastAsia="黑体"/>
          <w:sz w:val="28"/>
          <w:szCs w:val="28"/>
        </w:rPr>
      </w:pPr>
      <w:r>
        <w:rPr>
          <w:rFonts w:eastAsia="黑体" w:hint="eastAsia"/>
          <w:sz w:val="28"/>
          <w:szCs w:val="28"/>
        </w:rPr>
        <w:t xml:space="preserve">5  </w:t>
      </w:r>
      <w:r>
        <w:rPr>
          <w:rFonts w:eastAsia="黑体" w:hint="eastAsia"/>
          <w:sz w:val="28"/>
          <w:szCs w:val="28"/>
        </w:rPr>
        <w:t>重大分歧意见的处理结果和依据</w:t>
      </w:r>
    </w:p>
    <w:p w14:paraId="0B1979C4" w14:textId="2E50C424" w:rsidR="00B3298C" w:rsidRDefault="00610955" w:rsidP="00261BC2">
      <w:pPr>
        <w:widowControl/>
        <w:adjustRightInd w:val="0"/>
        <w:snapToGrid w:val="0"/>
        <w:spacing w:line="360" w:lineRule="auto"/>
        <w:jc w:val="left"/>
        <w:rPr>
          <w:rFonts w:eastAsia="黑体"/>
          <w:sz w:val="28"/>
          <w:szCs w:val="28"/>
        </w:rPr>
      </w:pPr>
      <w:r>
        <w:rPr>
          <w:rFonts w:eastAsia="黑体" w:hint="eastAsia"/>
          <w:sz w:val="28"/>
          <w:szCs w:val="28"/>
        </w:rPr>
        <w:lastRenderedPageBreak/>
        <w:t>无</w:t>
      </w:r>
    </w:p>
    <w:p w14:paraId="30648011" w14:textId="77777777" w:rsidR="00B3298C" w:rsidRDefault="00126055" w:rsidP="00261BC2">
      <w:pPr>
        <w:widowControl/>
        <w:adjustRightInd w:val="0"/>
        <w:snapToGrid w:val="0"/>
        <w:spacing w:line="360" w:lineRule="auto"/>
        <w:jc w:val="left"/>
        <w:rPr>
          <w:rFonts w:eastAsia="黑体"/>
          <w:sz w:val="28"/>
          <w:szCs w:val="28"/>
        </w:rPr>
      </w:pPr>
      <w:r>
        <w:rPr>
          <w:rFonts w:eastAsia="黑体" w:hint="eastAsia"/>
          <w:sz w:val="28"/>
          <w:szCs w:val="28"/>
        </w:rPr>
        <w:t xml:space="preserve">6  </w:t>
      </w:r>
      <w:bookmarkStart w:id="10" w:name="OLE_LINK43"/>
      <w:r>
        <w:rPr>
          <w:rFonts w:eastAsia="黑体" w:hint="eastAsia"/>
          <w:sz w:val="28"/>
          <w:szCs w:val="28"/>
        </w:rPr>
        <w:t>实施技术规范的风险评估及对经济社会发展可能产生的影响</w:t>
      </w:r>
      <w:bookmarkEnd w:id="10"/>
    </w:p>
    <w:p w14:paraId="08DABA94" w14:textId="73F13963" w:rsidR="00B3298C" w:rsidRDefault="006D2064" w:rsidP="006D2064">
      <w:pPr>
        <w:widowControl/>
        <w:adjustRightInd w:val="0"/>
        <w:snapToGrid w:val="0"/>
        <w:spacing w:line="360" w:lineRule="auto"/>
        <w:ind w:firstLineChars="200" w:firstLine="560"/>
        <w:jc w:val="left"/>
        <w:rPr>
          <w:sz w:val="28"/>
          <w:szCs w:val="28"/>
        </w:rPr>
      </w:pPr>
      <w:r w:rsidRPr="006D2064">
        <w:rPr>
          <w:rFonts w:hint="eastAsia"/>
          <w:sz w:val="28"/>
          <w:szCs w:val="28"/>
        </w:rPr>
        <w:t>准确获取石化产品凝点对于石化产品的使用、贮存及运输具有重要意义。本规范的制定和实施，弥补了凝点测定仪校准规范的空白，保证使用凝点测定仪测定结果的准确可靠，有利于促进石化产业产品质量提高，实现石化产品的高质量发展。</w:t>
      </w:r>
    </w:p>
    <w:p w14:paraId="02071777" w14:textId="77777777" w:rsidR="00B3298C" w:rsidRDefault="00126055" w:rsidP="00261BC2">
      <w:pPr>
        <w:widowControl/>
        <w:adjustRightInd w:val="0"/>
        <w:snapToGrid w:val="0"/>
        <w:spacing w:line="360" w:lineRule="auto"/>
        <w:jc w:val="left"/>
        <w:rPr>
          <w:rFonts w:eastAsia="黑体"/>
          <w:sz w:val="28"/>
          <w:szCs w:val="28"/>
        </w:rPr>
      </w:pPr>
      <w:r>
        <w:rPr>
          <w:rFonts w:eastAsia="黑体" w:hint="eastAsia"/>
          <w:sz w:val="28"/>
          <w:szCs w:val="28"/>
        </w:rPr>
        <w:t xml:space="preserve">7  </w:t>
      </w:r>
      <w:r>
        <w:rPr>
          <w:rFonts w:eastAsia="黑体" w:hint="eastAsia"/>
          <w:sz w:val="28"/>
          <w:szCs w:val="28"/>
        </w:rPr>
        <w:t>贯彻实施国家计量技术规范的要求、措施、过渡期和实施日期等建议</w:t>
      </w:r>
    </w:p>
    <w:p w14:paraId="4CBADD86" w14:textId="498A74CF" w:rsidR="00B3298C" w:rsidRDefault="00B50894" w:rsidP="00B50894">
      <w:pPr>
        <w:widowControl/>
        <w:adjustRightInd w:val="0"/>
        <w:snapToGrid w:val="0"/>
        <w:spacing w:line="360" w:lineRule="auto"/>
        <w:ind w:firstLineChars="200" w:firstLine="560"/>
        <w:rPr>
          <w:rFonts w:eastAsia="黑体"/>
          <w:sz w:val="28"/>
          <w:szCs w:val="28"/>
        </w:rPr>
      </w:pPr>
      <w:r w:rsidRPr="00B50894">
        <w:rPr>
          <w:rFonts w:hint="eastAsia"/>
          <w:sz w:val="28"/>
          <w:szCs w:val="28"/>
        </w:rPr>
        <w:t>目前凝点测定</w:t>
      </w:r>
      <w:proofErr w:type="gramStart"/>
      <w:r w:rsidRPr="00B50894">
        <w:rPr>
          <w:rFonts w:hint="eastAsia"/>
          <w:sz w:val="28"/>
          <w:szCs w:val="28"/>
        </w:rPr>
        <w:t>仪具备</w:t>
      </w:r>
      <w:proofErr w:type="gramEnd"/>
      <w:r w:rsidRPr="00B50894">
        <w:rPr>
          <w:rFonts w:hint="eastAsia"/>
          <w:sz w:val="28"/>
          <w:szCs w:val="28"/>
        </w:rPr>
        <w:t>完善的试验方法且设备运转稳定性好，为石化产品安全监测提供了有效的技术支撑。但目前尚缺少此类凝点测定设备的相关校准规范，仪器的量值特性准确无法得到考察。中国计量科学研究院</w:t>
      </w:r>
      <w:r>
        <w:rPr>
          <w:rFonts w:hint="eastAsia"/>
          <w:sz w:val="28"/>
          <w:szCs w:val="28"/>
        </w:rPr>
        <w:t>目前正在</w:t>
      </w:r>
      <w:r w:rsidRPr="00B50894">
        <w:rPr>
          <w:rFonts w:hint="eastAsia"/>
          <w:sz w:val="28"/>
          <w:szCs w:val="28"/>
        </w:rPr>
        <w:t>研制凝点标准物质，</w:t>
      </w:r>
      <w:r>
        <w:rPr>
          <w:rFonts w:hint="eastAsia"/>
          <w:sz w:val="28"/>
          <w:szCs w:val="28"/>
        </w:rPr>
        <w:t>标准物质的研制</w:t>
      </w:r>
      <w:r w:rsidRPr="00B50894">
        <w:rPr>
          <w:rFonts w:hint="eastAsia"/>
          <w:sz w:val="28"/>
          <w:szCs w:val="28"/>
        </w:rPr>
        <w:t>是校准规范应用过程中实现校准参数准确性、提升校准规范性的技术支撑和有力保障。鉴于此，建议本规范在发布后尽快实施。</w:t>
      </w:r>
    </w:p>
    <w:p w14:paraId="677C0CBE" w14:textId="77777777" w:rsidR="00B3298C" w:rsidRDefault="00126055" w:rsidP="00261BC2">
      <w:pPr>
        <w:adjustRightInd w:val="0"/>
        <w:snapToGrid w:val="0"/>
        <w:spacing w:line="360" w:lineRule="auto"/>
        <w:rPr>
          <w:rFonts w:eastAsia="黑体"/>
          <w:sz w:val="28"/>
          <w:szCs w:val="28"/>
        </w:rPr>
      </w:pPr>
      <w:r>
        <w:rPr>
          <w:rFonts w:eastAsia="黑体" w:hint="eastAsia"/>
          <w:sz w:val="28"/>
          <w:szCs w:val="28"/>
        </w:rPr>
        <w:t xml:space="preserve">8  </w:t>
      </w:r>
      <w:r>
        <w:rPr>
          <w:rFonts w:eastAsia="黑体" w:hint="eastAsia"/>
          <w:sz w:val="28"/>
          <w:szCs w:val="28"/>
        </w:rPr>
        <w:t>涉及专利的有关说明</w:t>
      </w:r>
    </w:p>
    <w:p w14:paraId="7F69E204" w14:textId="17681765" w:rsidR="00B3298C" w:rsidRDefault="00610955" w:rsidP="00261BC2">
      <w:pPr>
        <w:adjustRightInd w:val="0"/>
        <w:snapToGrid w:val="0"/>
        <w:spacing w:line="360" w:lineRule="auto"/>
        <w:rPr>
          <w:rFonts w:eastAsia="黑体"/>
          <w:sz w:val="28"/>
          <w:szCs w:val="28"/>
        </w:rPr>
      </w:pPr>
      <w:r>
        <w:rPr>
          <w:rFonts w:hint="eastAsia"/>
          <w:sz w:val="28"/>
          <w:szCs w:val="28"/>
        </w:rPr>
        <w:t>无</w:t>
      </w:r>
    </w:p>
    <w:p w14:paraId="1C9753B8" w14:textId="77777777" w:rsidR="00B3298C" w:rsidRDefault="00126055" w:rsidP="00261BC2">
      <w:pPr>
        <w:adjustRightInd w:val="0"/>
        <w:snapToGrid w:val="0"/>
        <w:spacing w:line="360" w:lineRule="auto"/>
        <w:rPr>
          <w:rFonts w:eastAsia="黑体"/>
          <w:sz w:val="28"/>
          <w:szCs w:val="28"/>
        </w:rPr>
      </w:pPr>
      <w:r>
        <w:rPr>
          <w:rFonts w:eastAsia="黑体" w:hint="eastAsia"/>
          <w:sz w:val="28"/>
          <w:szCs w:val="28"/>
        </w:rPr>
        <w:t xml:space="preserve">9  </w:t>
      </w:r>
      <w:r>
        <w:rPr>
          <w:rFonts w:eastAsia="黑体" w:hint="eastAsia"/>
          <w:sz w:val="28"/>
          <w:szCs w:val="28"/>
        </w:rPr>
        <w:t>其他应当说明的事项</w:t>
      </w:r>
    </w:p>
    <w:p w14:paraId="1FC2E0A7" w14:textId="7DDFDE9C" w:rsidR="00B3298C" w:rsidRPr="00610955" w:rsidRDefault="00610955" w:rsidP="00610955">
      <w:pPr>
        <w:widowControl/>
        <w:adjustRightInd w:val="0"/>
        <w:snapToGrid w:val="0"/>
        <w:spacing w:line="360" w:lineRule="auto"/>
        <w:jc w:val="left"/>
        <w:rPr>
          <w:sz w:val="28"/>
          <w:szCs w:val="28"/>
        </w:rPr>
      </w:pPr>
      <w:r>
        <w:rPr>
          <w:rFonts w:hint="eastAsia"/>
          <w:sz w:val="28"/>
          <w:szCs w:val="28"/>
        </w:rPr>
        <w:t>无</w:t>
      </w:r>
    </w:p>
    <w:sectPr w:rsidR="00B3298C" w:rsidRPr="006109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39951" w14:textId="77777777" w:rsidR="007C241D" w:rsidRDefault="007C241D">
      <w:r>
        <w:separator/>
      </w:r>
    </w:p>
  </w:endnote>
  <w:endnote w:type="continuationSeparator" w:id="0">
    <w:p w14:paraId="649514C3" w14:textId="77777777" w:rsidR="007C241D" w:rsidRDefault="007C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6170401"/>
    </w:sdtPr>
    <w:sdtEndPr/>
    <w:sdtContent>
      <w:p w14:paraId="3D4CDEE6" w14:textId="77777777" w:rsidR="00B3298C" w:rsidRDefault="00126055">
        <w:pPr>
          <w:pStyle w:val="a3"/>
          <w:jc w:val="center"/>
        </w:pPr>
        <w:r>
          <w:fldChar w:fldCharType="begin"/>
        </w:r>
        <w:r>
          <w:instrText>PAGE   \* MERGEFORMAT</w:instrText>
        </w:r>
        <w:r>
          <w:fldChar w:fldCharType="separate"/>
        </w:r>
        <w:r>
          <w:rPr>
            <w:lang w:val="zh-CN"/>
          </w:rPr>
          <w:t>1</w:t>
        </w:r>
        <w:r>
          <w:fldChar w:fldCharType="end"/>
        </w:r>
      </w:p>
    </w:sdtContent>
  </w:sdt>
  <w:p w14:paraId="1A989D45" w14:textId="77777777" w:rsidR="00B3298C" w:rsidRDefault="00B3298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AC245" w14:textId="77777777" w:rsidR="007C241D" w:rsidRDefault="007C241D">
      <w:r>
        <w:separator/>
      </w:r>
    </w:p>
  </w:footnote>
  <w:footnote w:type="continuationSeparator" w:id="0">
    <w:p w14:paraId="46ED5099" w14:textId="77777777" w:rsidR="007C241D" w:rsidRDefault="007C2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545D00"/>
    <w:multiLevelType w:val="multilevel"/>
    <w:tmpl w:val="67545D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JiNDVhYmNiNmJmOWE2ZGZhYWIzNTZiYTQxZjVhYjUifQ=="/>
    <w:docVar w:name="KSO_WPS_MARK_KEY" w:val="e09e88f8-7ec3-43a8-becb-8d3f336b12c0"/>
  </w:docVars>
  <w:rsids>
    <w:rsidRoot w:val="00302AD2"/>
    <w:rsid w:val="00126055"/>
    <w:rsid w:val="0015484F"/>
    <w:rsid w:val="00166C8F"/>
    <w:rsid w:val="001F3D91"/>
    <w:rsid w:val="00261BC2"/>
    <w:rsid w:val="0026246C"/>
    <w:rsid w:val="002B7934"/>
    <w:rsid w:val="00302AD2"/>
    <w:rsid w:val="004239C3"/>
    <w:rsid w:val="005355E3"/>
    <w:rsid w:val="00571292"/>
    <w:rsid w:val="005D5F00"/>
    <w:rsid w:val="00610955"/>
    <w:rsid w:val="00665146"/>
    <w:rsid w:val="006D2064"/>
    <w:rsid w:val="00783B5F"/>
    <w:rsid w:val="007A0AEA"/>
    <w:rsid w:val="007C241D"/>
    <w:rsid w:val="007D2113"/>
    <w:rsid w:val="0082648E"/>
    <w:rsid w:val="008C49D0"/>
    <w:rsid w:val="009E7A2F"/>
    <w:rsid w:val="00A73576"/>
    <w:rsid w:val="00AB57DF"/>
    <w:rsid w:val="00B16824"/>
    <w:rsid w:val="00B3298C"/>
    <w:rsid w:val="00B50894"/>
    <w:rsid w:val="00B70A6C"/>
    <w:rsid w:val="00B8630C"/>
    <w:rsid w:val="00C04F17"/>
    <w:rsid w:val="00C843AF"/>
    <w:rsid w:val="00D61E61"/>
    <w:rsid w:val="00E81B73"/>
    <w:rsid w:val="00EE5D59"/>
    <w:rsid w:val="00F33A57"/>
    <w:rsid w:val="00FB4399"/>
    <w:rsid w:val="017320FB"/>
    <w:rsid w:val="0AE962F7"/>
    <w:rsid w:val="0C0076B2"/>
    <w:rsid w:val="12ED39F4"/>
    <w:rsid w:val="13D33102"/>
    <w:rsid w:val="157E37A9"/>
    <w:rsid w:val="1DB87F26"/>
    <w:rsid w:val="1E57048B"/>
    <w:rsid w:val="28316CE0"/>
    <w:rsid w:val="2F012479"/>
    <w:rsid w:val="37F46B3F"/>
    <w:rsid w:val="3AE80991"/>
    <w:rsid w:val="3B3B601E"/>
    <w:rsid w:val="3C280096"/>
    <w:rsid w:val="3CA803D8"/>
    <w:rsid w:val="435816D4"/>
    <w:rsid w:val="53C54A7E"/>
    <w:rsid w:val="5ED6087B"/>
    <w:rsid w:val="617D1584"/>
    <w:rsid w:val="65EE2A50"/>
    <w:rsid w:val="677A75D3"/>
    <w:rsid w:val="6A487D63"/>
    <w:rsid w:val="6B9D1315"/>
    <w:rsid w:val="734B3290"/>
    <w:rsid w:val="738642C8"/>
    <w:rsid w:val="75C34BC5"/>
    <w:rsid w:val="77E92E21"/>
    <w:rsid w:val="79294073"/>
    <w:rsid w:val="797804D9"/>
    <w:rsid w:val="7E35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0C740"/>
  <w15:docId w15:val="{7BBEBF71-A145-4C6D-968F-02E75C25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0"/>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a5"/>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2">
    <w:name w:val="标题 1 字符"/>
    <w:basedOn w:val="a0"/>
    <w:uiPriority w:val="9"/>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Arial" w:eastAsia="黑体" w:hAnsi="Arial" w:cs="Times New Roman"/>
      <w:b/>
      <w:bCs/>
      <w:sz w:val="32"/>
      <w:szCs w:val="32"/>
    </w:rPr>
  </w:style>
  <w:style w:type="character" w:customStyle="1" w:styleId="11">
    <w:name w:val="标题 1 字符1"/>
    <w:link w:val="1"/>
    <w:qFormat/>
    <w:rPr>
      <w:rFonts w:ascii="Times New Roman" w:eastAsia="宋体" w:hAnsi="Times New Roman" w:cs="Times New Roman"/>
      <w:b/>
      <w:bCs/>
      <w:kern w:val="44"/>
      <w:sz w:val="44"/>
      <w:szCs w:val="44"/>
    </w:rPr>
  </w:style>
  <w:style w:type="character" w:customStyle="1" w:styleId="10">
    <w:name w:val="页脚 字符1"/>
    <w:link w:val="a3"/>
    <w:qFormat/>
    <w:rPr>
      <w:sz w:val="18"/>
      <w:szCs w:val="18"/>
    </w:rPr>
  </w:style>
  <w:style w:type="paragraph" w:customStyle="1" w:styleId="a6">
    <w:name w:val="封面标准文稿类别"/>
    <w:qFormat/>
    <w:pPr>
      <w:spacing w:before="440" w:line="400" w:lineRule="exact"/>
      <w:jc w:val="center"/>
    </w:pPr>
    <w:rPr>
      <w:rFonts w:ascii="宋体"/>
      <w:sz w:val="24"/>
    </w:rPr>
  </w:style>
  <w:style w:type="character" w:customStyle="1" w:styleId="a7">
    <w:name w:val="页脚 字符"/>
    <w:basedOn w:val="a0"/>
    <w:uiPriority w:val="99"/>
    <w:qFormat/>
    <w:rPr>
      <w:rFonts w:ascii="Times New Roman" w:eastAsia="宋体" w:hAnsi="Times New Roman" w:cs="Times New Roman"/>
      <w:sz w:val="18"/>
      <w:szCs w:val="18"/>
    </w:rPr>
  </w:style>
  <w:style w:type="paragraph" w:styleId="a8">
    <w:name w:val="List Paragraph"/>
    <w:basedOn w:val="a"/>
    <w:uiPriority w:val="99"/>
    <w:qFormat/>
    <w:pPr>
      <w:ind w:firstLineChars="200" w:firstLine="420"/>
    </w:pPr>
  </w:style>
  <w:style w:type="character" w:customStyle="1" w:styleId="a5">
    <w:name w:val="页眉 字符"/>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Pages>
  <Words>450</Words>
  <Characters>2568</Characters>
  <Application>Microsoft Office Word</Application>
  <DocSecurity>0</DocSecurity>
  <Lines>21</Lines>
  <Paragraphs>6</Paragraphs>
  <ScaleCrop>false</ScaleCrop>
  <Company>Microsoft</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刘喆</cp:lastModifiedBy>
  <cp:revision>16</cp:revision>
  <dcterms:created xsi:type="dcterms:W3CDTF">2023-07-24T07:48:00Z</dcterms:created>
  <dcterms:modified xsi:type="dcterms:W3CDTF">2025-08-19T03:19:00Z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908BA3B0A527482D9DCED1FFE84FB126_13</vt:lpwstr>
  </property>
  <property fmtid="{D5CDD505-2E9C-101B-9397-08002B2CF9AE}" pid="4" name="KSOTemplateDocerSaveRecord">
    <vt:lpwstr>eyJoZGlkIjoiYjlmZmE1MGQ3ZDhmODNhMDkxMjkwYzMzODYyMzE3NDQiLCJ1c2VySWQiOiIzOTI3Njk2NTkifQ==</vt:lpwstr>
  </property>
</Properties>
</file>